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农村乱占耕地建房工作经费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克孜勒苏柯尔克孜自治州国土资源规划勘测院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克孜勒苏柯尔克孜自治州国土资源规划勘测院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村乱占耕地建房工作项目实施前期、过程及效果，评价财政预算资金使用的效率及效益。为深入贯彻落实《自治州，自治区农村乱占耕地建房问题摸排工作方案》要求，明确通过开展摸排工作，摸清全国农村乱占耕地建房底数，建立全国农村乱占耕地建房问题工作台账，为分步整治，分类处置存量问题奠定基础，重点整治强占多占，非法出售等恶意占用耕地间房行为，保障农民合理建房需求的有关要求。</w:t>
        <w:br/>
        <w:t>　　2.主要内容及实施情况</w:t>
        <w:br/>
        <w:t>　　（1）主要内容</w:t>
        <w:br/>
        <w:t>　　该项工作财政拨付资金5万元，按照农村乱占耕地建房专项整治行动部署协调机制办公室印发《农村乱占耕地建房问题摸排工作方案》和《自治州，自治区农村乱占耕地建房问题摸排工作方案》要求，明确通过开展摸排工作，摸清全国农村乱占耕地建房底数，建立全国农村乱占耕地建房问题工作台账，为分步整治，分类处置存量问题奠定基础，重点整治强占多占，非法出售等恶意占用耕地间房行为，保障农民合理建房需求的有关要求。根据农村乱占耕地建房专项整治行动方案部署要求，为有效遏制新增问题和保障农民合理建房需求。</w:t>
        <w:br/>
        <w:t>　　　　（2）实施情况</w:t>
        <w:br/>
        <w:t>　　此项工作的开展推进摸清全国农村乱占耕地建房底数，建立全国农村乱占耕地建房问题工作台账，为分步整治，分类处置存量问题奠定基础，重点整治强占多占，非法出售等恶意占用耕地间房行为，保障农民合理建房需求的有关要求。根据农村乱占耕地建房专项整治行动方案部署要求，为有效遏制新增问题和保障农民合理建房需求。</w:t>
        <w:br/>
        <w:t>　　3.项目实施主体</w:t>
        <w:br/>
        <w:t>　　该项目由克州国土空间规划研究中心实施，无下属预算单位，下设5个科室，分别是：办公室、地理信息室、确权调查室、国土空间规划室、质检室。主要职能是负责全州范围内土地资源现状调查，成果应用、国土资源大调查和动态监测技术工作及技术服务；负责大地测量、工程测量、地籍和不动产测绘，地形图、城镇地籍调查数字化数据处理采集；</w:t>
        <w:br/>
        <w:t>　　负责全州范围内国家、集体单位和城镇居民用地、土地登记、宗地、建设用地、矿山采矿范围的勘界测绘工作；负责全州范围内建设用地、林草、公路、水利及水域用地确权定界、登记发证的测绘工作及各种报件、图件的编制工作；参与土地利用总体规划及国土资源专项规划的编制和城镇土地及农用地分等、定级及基准地价更新等工作；负责城镇地籍数据、土地利用总体规划等工作数据库的保管、更新、运用工作；承担克州国土系统的技术支持服务工作;承担全州不动产测绘工作；参与全州国土调查、数据库建设及年度土地利用现状更新工作；</w:t>
        <w:br/>
        <w:t>　　承办自治州人民政府和克州自然资源局安排部署的其他技术服务工作。</w:t>
        <w:br/>
        <w:t>　　克州国土空间规划研究中心编制数27，实有人数51人，其中：在职28人，增加0人；退休23人，增加0人；离休0人，增加0人。</w:t>
        <w:br/>
        <w:t>　　3.资金投入和使用情况</w:t>
        <w:br/>
        <w:t>　　克州国土空间规划研究中心本年度安排下达资金5万元，为农村乱占耕地建房工作经费资金，最终确定项目资金总数为5万元。其中：中央财政拨款0万元，自治区财政拨款0万元，本级财政拨款5万元，上年结余0万元。</w:t>
        <w:br/>
        <w:t>　　截至2022年12月31日，实际支出0.88万元，预算执行率17.6%。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工作财政拨付资金5万元，按照农村乱占耕地建房专项整治行动部署协调机制办公室印发《农村乱占耕地建房问题摸排工作方案》和《自治州，自治区农村乱占耕地建房问题摸排工作方案》要求，明确通过开展摸排工作，摸清全国农村乱占耕地建房底数，建立全国农村乱占耕地建房问题工作台账，为分步整治，分类处置存量问题奠定基础，重点整治强占多占，非法出售等恶意占用耕地间房行为，保障农民合理建房需求的有关要求。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“下发图斑核查次数”指标，预期指标值为≥=6次；</w:t>
        <w:br/>
        <w:t>　　“下发图斑核查县市”指标，预期指标值为=4个；</w:t>
        <w:br/>
        <w:t>　　②质量指标</w:t>
        <w:br/>
        <w:t>　　“下发图斑实地核查完成率”指标，预期指标值为≥=90%；</w:t>
        <w:br/>
        <w:t>　　“下发图斑实地核查审核通过率”指标，预期指标值为≥=100%。</w:t>
        <w:br/>
        <w:t>　　③时效指标</w:t>
        <w:br/>
        <w:t>　　“项目完成时效”指标，预期指标值为2022年12月。</w:t>
        <w:br/>
        <w:t>　　“实地核查反馈及时率”指标，预期指标值为≥=85%。</w:t>
        <w:br/>
        <w:t>　　④成本指标</w:t>
        <w:br/>
        <w:t>　　“业务服务经费”指标，预期指标值为≤5万元；</w:t>
        <w:br/>
        <w:t>　　“预算成本控制率”指标，预期指标值为=100%；</w:t>
        <w:br/>
        <w:t>　　（2）项目效益目标</w:t>
        <w:br/>
        <w:t>　　①经济效益指标</w:t>
        <w:br/>
        <w:t>　　无</w:t>
        <w:br/>
        <w:t>　　②社会效益指标</w:t>
        <w:br/>
        <w:t>　　“提升自然资源管理工作成效”指标，预期指标值为有效提升；</w:t>
        <w:br/>
        <w:t>　　③生态效益指标</w:t>
        <w:br/>
        <w:t>　　无</w:t>
        <w:br/>
        <w:t>　　④可持续影响</w:t>
        <w:br/>
        <w:t>　　“实地摸排下发图斑，有效整治乱占耕地建房问题”指标，预期指标值为有效整治；</w:t>
        <w:br/>
        <w:t>　　⑤满意度指标</w:t>
        <w:br/>
        <w:t>　　“上级部门满意度（%）”指标，预期指标值为≥95%。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农村乱占耕地建房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赵俊锋任评价组组长，职务为副主任，绩效评价工作职责为负责全盘工作。</w:t>
        <w:br/>
        <w:t>　　王娟任评价组副组长，绩效评价工作职责为对项目实施情况进行实地调查。</w:t>
        <w:br/>
        <w:t>　　其曼古丽·太来提任评价组成员，绩效评价工作职责为负责资料审核等工作。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村乱占耕地建房工作经费”项目绩效进行客观公正的评价，本项目总得分为60.57分，绩效评级属于“差”。其中，决策类指标得分20分，过程类指标得分15.88分，产出类指标得分12.69分，效益类指标得分12分。</w:t>
        <w:br/>
        <w:t>　　（二）综合评价结论</w:t>
        <w:br/>
        <w:t>　　经评价，本项目达到了年初设立的绩效目标，在实施过程中取得了良好的成效，具体表现在：下发图斑核查2次，下发图斑核查1县市；通过该项目的实施，有效整治农村乱占耕地建房问题，推动克州社会发展更高质量，更有效率，更加公平，更加持续推动了农民合理建房意识，提升自然资源管理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农村乱占耕地建房工作经费项目为经常性项目，资金由克州本级下拨并结合克州国土空间规划研究中心职责组织实施。围绕克州国土空间规划研究中心年度工作重点和工作计划制定经费预算，根据评分标准，该指标不扣分，得3分。</w:t>
        <w:br/>
        <w:t>　　（2）立项程序规范性：根据决策依据编制工作计划和经费预算，经过与克州国土空间规划研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农村乱占耕地建房工作经费项目为经常性项目，资金由克州本级下拨并结合克州国土空间规划研究中心职责组织实施。实际完成内容与项目内容匹配，项目投资额与工作任务相匹配，根据评分标准，该指标不扣分，得5分。</w:t>
        <w:br/>
        <w:t>　　（6）资金分配合理性：资金分配按照农村乱占耕地建房工作经费项目为经常性项目，资金由克州本级下拨并结合克州国土空间规划研究中心职责组织实施。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5个三级指标构成，权重分为20分，实际得分15.88分，得分率为79.4%。</w:t>
        <w:br/>
        <w:t>　　（1）资金到位率：该项目总投资5万元，克州财政局实际下达经费5万元，其中当年财政拨款5万元，上年结转资金0万元，财政资金足额拨付到位，根据评分标准，该指标不扣分，得5分。   </w:t>
        <w:br/>
        <w:t>　　（2）预算执行率：本项目申请预算金额为5万元，预算批复实际下达金额为 5万元。截至 2022年 12 月 31日，资金执行0.88万元，资金执行率17.6%。项目资金支出总体能够按照预算执行，根据评分标准，得分=（0.88/5）×100%*5=0.88，该指标扣4.12分，得0.88分。</w:t>
        <w:br/>
        <w:t>　　（3）资金使用合规性：农村乱占耕地建房工作经费项目为经常性项目，资金由克州本级下拨并结合克州国土空间规划研究中心职责组织实施。符合预算批复规定用途，不存在截留、挤占、挪用、虚列支出等情况，未发现违规使用情况，根据评分标准，该指标不扣分，得5分。</w:t>
        <w:br/>
        <w:t>　　（4）管理制度健全性：该项目严格按照《克州国土空间规划研究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项目产出类指标包括产出数量、产出质量、产出时效、产出成本四方面的内容，由4个三级指标构成，权重分为40分，实际得分12.69分，得分率为31.73%。</w:t>
        <w:br/>
        <w:t>　　（1）对于“产出数量”</w:t>
        <w:br/>
        <w:t>　　下发图斑核查次数次2次，与预期目标不一致，得分=（2/6）×100%*5分=1.66，根据评分标准，该指标扣3.34分，得1.66分。</w:t>
        <w:br/>
        <w:t>　　存在偏差：预期绩效目标下发图斑核查次数次2次，实际完成值为6次，偏差率为66.6%，偏差原因：偏差原因:受疫情影响部分线下活动未能如期开展。整改措施：加强预算资金管理，提高资金效益率。根据评分标准，该指标扣3.34分，得1.66分。</w:t>
        <w:br/>
        <w:t>　　下发图斑核查县市1个，与预期目标不一致，根据评分标准，得分=（1/4）×100%*5分=1.25，该指标扣3.75分，得1.25分。</w:t>
        <w:br/>
        <w:t>　　存在偏差：预期绩效目标下发图斑核查县市4个，实际完成值为1个，偏差率为75%，偏差原因：偏差原因:受疫情影响部分线下活动未能如期开展。整改措施：加强预算资金管理，提高资金效益率。根据评分标准，该指标扣3.75分，得1.25分。</w:t>
        <w:br/>
        <w:t>　　合计得2.91分。</w:t>
        <w:br/>
        <w:t>　　（2）对于“产出质量”：</w:t>
        <w:br/>
        <w:t>　　下发图斑实地核查完成率17.6%，与预期目标不一致，根据评分标准，得分=（17.6/90）×100%*5分=0.98，该指标扣4.03分，得0.98分。</w:t>
        <w:br/>
        <w:t>　　存在偏差：预期绩效目标下发图斑实地核查完成率100%，实际完成值为17.6%，偏差率为82.4%，偏差原因:受疫情影响部分线下活动未能如期开展。整改措施：加强预算资金管理，提高资金效益率。根据评分标准，该指标扣4.03分，得0.98分。</w:t>
        <w:br/>
        <w:t>　　下发图斑实地核查审核通过率20%，与预期目标不一致，根据评分标准，得分=（20%/100%）×100%*5分=1，该指标扣4分，得1分。</w:t>
        <w:br/>
        <w:t>　　存在偏差：预期绩效目标下发图斑实地核查审核通过率100%，实际完成值为20%，偏差率为80%，偏差原因:受疫情影响部分线下活动未能如期开展。整改措施：加强预算资金管理，提高资金效益率。根据评分标准，该指标扣4分，得1分。</w:t>
        <w:br/>
        <w:t>　　合计得1.98分。</w:t>
        <w:br/>
        <w:t>　　（3）对于“产出时效”：</w:t>
        <w:br/>
        <w:t>　　项目完成时效2022年12月，与预期目标指标一致，根据评分标准，该指标不扣分，得5分。</w:t>
        <w:br/>
        <w:t>　　实地核查反馈及时率17.6%，与预期目标指标一致，根据评分标准，得分=（17.6/85%）×100%*5分=1.04，该指标扣3.96分，得1.04分。</w:t>
        <w:br/>
        <w:t>　　存在偏差：预期绩效目标实地核查反馈及时率85%，实际完成值为17.6%，偏差率为79.3% ，偏差原因:受疫情影响部分线下活动未能如期开展。整改措施：加强预算资金管理，提高资金效益率。根据评分标准，该指标扣3.96分，得1.04分。</w:t>
        <w:br/>
        <w:t>　　合计得6.04分。</w:t>
        <w:br/>
        <w:t>　　（4）对于“产出成本”：</w:t>
        <w:br/>
        <w:t>　　业务服务经费5万元，实际执行0.88万元，与预期目标指标一致，得分=（0.88/5）×100%*5=0.88，根据评分标准，该指标扣4.12分，得0.88分。</w:t>
        <w:br/>
        <w:t>　　预算成本控制率17.6%，与预期目标指标不一致，根据评分标准，得分=（17.6%/100%）×100%*5=0.88，该指标扣4.12分，得0.88分。</w:t>
        <w:br/>
        <w:t>　　存在偏差：预期绩效目标5万元，实际完成值为0.88万元，偏差率为17.6%，偏差原因:受疫情影响部分线下活动未能如期开展。整改措施：加强预算资金管理，提高资金效益率。根据评分标准，该指标扣4.12分，得0.88分。</w:t>
        <w:br/>
        <w:t>　　合计得1.76分。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项目效益类指标包括项目效益1个方面的内容，由2个三级指标构成，权重分为20分，实际得分12分，得分率为60%。</w:t>
        <w:br/>
        <w:t>　　（1）实施效益指标：</w:t>
        <w:br/>
        <w:t>　　对于“社会效益指标”：</w:t>
        <w:br/>
        <w:t>　　提升自然资源管理工作成效，与预期指标不一致，根据评分标准，得分=（20%/100%）×100%*5=1，该指标扣4分，得1分。</w:t>
        <w:br/>
        <w:t>　　存在偏差：预期绩效目标为提升自然资源管理工作成效，实际完成值为未达成年度指标且效果较差，偏差率为80% ，偏差原因:受疫情影响部分线下活动未能如期开展。整改措施：加强预算资金管理，提高资金效益率。根据评分标准，该指标扣4分，得1分。</w:t>
        <w:br/>
        <w:t>　　对于“可持续影响指标”：</w:t>
        <w:br/>
        <w:t>　　实地摸排下发图斑，有效整治乱占耕地建房问题，与预期指标不一致，根据评分标准，得分=（20%/100%）×100%*5=1，该指标扣4分，得1分。</w:t>
        <w:br/>
        <w:t>　　存在偏差：预期绩效目标实地摸排下发图斑，有效整治乱占耕地建房问题，实际完成值为未达成年度指标且效果较差，偏差率为80%，偏差原因:受疫情影响部分线下活动未能如期开展。整改措施：加强预算资金管理，提高资金效益率。根据评分标准，该指标扣4分，得1分。</w:t>
        <w:br/>
        <w:t>　　对于“经济效益指标”：</w:t>
        <w:br/>
        <w:t>　　本项目无该指标。</w:t>
        <w:br/>
        <w:t>　　对于“生态效益指标”：</w:t>
        <w:br/>
        <w:t>　　本项目无该指标。</w:t>
        <w:br/>
        <w:t>　　实施效益指标合计得2分。</w:t>
        <w:br/>
        <w:t>　　（2）满意度指标：</w:t>
        <w:br/>
        <w:t>　　对于满意度指标：上级部门满意度95%，与预期目标一致，根据评分标准，该指标不扣分，得10分。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农村乱占耕地建房工作经费项目预算5万元，到位5万元，实际支出0.88万元，预算执行率为17.6%，项目绩效指标总体完成率为48%，偏差率为52%，偏差原因疫情原因未及时开展工作，采取的措施及时开展工作。，采取的措施加强预算资金管理，提高资金效益性根据评分标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