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w:t>
      </w:r>
      <w:r>
        <w:rPr>
          <w:rFonts w:hint="eastAsia" w:ascii="方正小标宋_GBK" w:hAnsi="华文中宋" w:eastAsia="方正小标宋_GBK" w:cs="宋体"/>
          <w:b/>
          <w:kern w:val="0"/>
          <w:sz w:val="44"/>
          <w:szCs w:val="44"/>
          <w:lang w:val="en-US" w:eastAsia="zh-CN"/>
        </w:rPr>
        <w:t>克州</w:t>
      </w:r>
      <w:r>
        <w:rPr>
          <w:rFonts w:hint="eastAsia" w:ascii="方正小标宋_GBK" w:hAnsi="华文中宋" w:eastAsia="方正小标宋_GBK" w:cs="宋体"/>
          <w:b/>
          <w:kern w:val="0"/>
          <w:sz w:val="44"/>
          <w:szCs w:val="44"/>
        </w:rPr>
        <w:t>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7"/>
          <w:rFonts w:hint="eastAsia" w:ascii="仿宋" w:hAnsi="仿宋" w:eastAsia="仿宋" w:cs="仿宋"/>
          <w:b w:val="0"/>
          <w:bCs w:val="0"/>
          <w:spacing w:val="-4"/>
          <w:sz w:val="32"/>
          <w:szCs w:val="32"/>
        </w:rPr>
        <w:t>2022年度新冠肺炎实验室中央投资项目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7"/>
          <w:rFonts w:hint="eastAsia" w:ascii="仿宋" w:hAnsi="仿宋" w:eastAsia="仿宋" w:cs="仿宋"/>
          <w:b w:val="0"/>
          <w:bCs w:val="0"/>
          <w:spacing w:val="-4"/>
          <w:sz w:val="32"/>
          <w:szCs w:val="32"/>
        </w:rPr>
        <w:t>克孜勒苏柯尔克孜自治州疾病预防控制中心</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7"/>
          <w:rFonts w:hint="eastAsia" w:ascii="仿宋" w:hAnsi="仿宋" w:eastAsia="仿宋" w:cs="仿宋"/>
          <w:b w:val="0"/>
          <w:bCs w:val="0"/>
          <w:spacing w:val="-4"/>
          <w:sz w:val="32"/>
          <w:szCs w:val="32"/>
        </w:rPr>
        <w:t>克孜勒苏柯尔克孜自治州卫生健康委员会</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7"/>
          <w:rFonts w:hint="eastAsia" w:ascii="仿宋" w:hAnsi="仿宋" w:eastAsia="仿宋" w:cs="仿宋"/>
          <w:b w:val="0"/>
          <w:bCs w:val="0"/>
          <w:spacing w:val="-4"/>
          <w:sz w:val="32"/>
          <w:szCs w:val="32"/>
        </w:rPr>
        <w:t>王生国</w:t>
      </w:r>
    </w:p>
    <w:p>
      <w:pPr>
        <w:spacing w:line="540" w:lineRule="exact"/>
        <w:ind w:firstLine="360" w:firstLineChars="100"/>
        <w:rPr>
          <w:rStyle w:val="17"/>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7"/>
          <w:rFonts w:hint="eastAsia" w:ascii="仿宋" w:hAnsi="仿宋" w:eastAsia="仿宋" w:cs="仿宋"/>
          <w:b w:val="0"/>
          <w:bCs w:val="0"/>
          <w:spacing w:val="-4"/>
          <w:sz w:val="32"/>
          <w:szCs w:val="32"/>
        </w:rPr>
        <w:t>2023年05月04日</w:t>
      </w:r>
    </w:p>
    <w:p>
      <w:pPr>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br w:type="page"/>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一、基本情况</w:t>
      </w:r>
    </w:p>
    <w:p>
      <w:pPr>
        <w:spacing w:line="570" w:lineRule="exact"/>
        <w:ind w:firstLine="627" w:firstLineChars="200"/>
        <w:rPr>
          <w:rStyle w:val="17"/>
          <w:rFonts w:ascii="方正楷体_GBK" w:hAnsi="方正楷体_GBK" w:eastAsia="方正楷体_GBK" w:cs="方正楷体_GBK"/>
          <w:bCs w:val="0"/>
          <w:spacing w:val="-4"/>
          <w:sz w:val="32"/>
          <w:szCs w:val="32"/>
        </w:rPr>
      </w:pPr>
      <w:r>
        <w:rPr>
          <w:rStyle w:val="17"/>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（一）项目概况</w:t>
        <w:br/>
        <w:t>　　1.项目背景</w:t>
        <w:br/>
        <w:t>本项目遵循财政部《项目支出绩效评价管理办法》（财预〔2020〕10号）和自治区财政厅《自治区财政支出绩效评价管理暂行办法》（新财预〔2018〕189号）等相关政策文件与规定，旨在评价2022年度新冠肺炎实验室中央投资项目实施前期、过程及效果，评价财政预算资金使用的效率及效益。通过对项目背景分析和建设必要性的论述，按照《公共卫生防控救治能力建设方案》(发改社会[2020]735 号)要求，为全面改善克州重大疫情防 控救治能力短板，提高平战结合能力，提升克州疾病预防控制中心实验室 核酸检测、微生物检验、生活饮用水监测能力，加强克州生物安全防护能 力建设，补齐短板弱项，依据国家卫生健康委规划司《关于征求疾病预防 控制中心建设标准（征求意见稿）意见的函》（国卫规划建装便函﹝2020﹞155 号），结合克州重大疫情防控救治的需求分析，对项目建设规模、建设 条件、建设方案及项目建设所带来的风险等方面进行综合研究和分析，得出项目可行的结论。</w:t>
        <w:br/>
        <w:t>　　2.主要内容及实施情况</w:t>
        <w:br/>
        <w:t>　　（1）主要内容</w:t>
        <w:br/>
        <w:t>主要是对克州疾控中心现有的 2800 平方米的实验室用房按照生 物安全二级实验室的标准进行改造升级，购置检测设备及附属设施建设， 主要包括：1、2800 平方米实验室升级改造：对克州疾病预防控制中心实 验室通风、墙地面、给排水、电力、采暖及其他系统按照生物二级实验室 标准予以装修改造，满足各类指标检测的要求；2、购置检测仪器设备共计 97 台（套）及 1 台疫苗冷链运输车； 3、购置信息化系统终端及配套设备。</w:t>
        <w:br/>
        <w:t>　　（2）实施情况</w:t>
        <w:br/>
        <w:t>根据《公共卫生防控救治能力建设方案》(发改社会[2020]735 号)要求，为全面改善克州重大疫情防 控救治能力短板，提高平战结合能力，提升克州疾病预防控制中心实验室 核酸检测、微生物检验、生活饮用水监测能力，加强克州生物安全防护能 力建设，补齐短板弱项。</w:t>
        <w:br/>
        <w:t>　　3.项目实施主体</w:t>
        <w:br/>
        <w:t>该项目由克州疾控中心实施，内设10个科室，分别是办公室，卫生科、防疫计免科、结核病防治科、性病艾滋病科，检验科，信息与健康教育科，综合防治科、鼠防科、传染病防控应急科。</w:t>
        <w:br/>
        <w:t>工作职能： </w:t>
        <w:br/>
        <w:t>1.拟定和指导实施全州急慢性传染病、慢性非传染性疾病、职业病、地方病等疾病的预防控制规划、计划、实施方案、工作规范、标准、防制对策与技术揩施。并对实施情况进行质量控制和效果评估。</w:t>
        <w:br/>
        <w:t>2.建立突发公共卫生事件应急处理运行机制，指导和参与调查处理全州发生的重大传染病疫情、新发传染病、群体性不明原因疾病等突发公共卫生事件。</w:t>
        <w:br/>
        <w:t>3开展对影响人群生存环境卫生质量及生命质量的危险因素和职业、水质、学校卫生等卫生学监测，组织开展健康危害因素干预。</w:t>
        <w:br/>
        <w:t>4.开展全州免疫预防接种工作，负责免疫预防的技术指导、效果监测与评价，预防用生物制品的计划、订购、供应及冷链系统的监测与使用管理。</w:t>
        <w:br/>
        <w:t>5拟定健康教育工作规划、计划与实施方案，开展使康教育和健康促进工作。</w:t>
        <w:br/>
        <w:t>6.拟定全州消毒工作规划、计划和技术措施，组织开展病原媒介生物和消毒工作效果监测与评价。</w:t>
        <w:br/>
        <w:t>7.负责全州传染病疫情等突发公共卫生事件及有关公共卫生信息的收集、分析、报告、管理工作。</w:t>
        <w:br/>
        <w:t>8.向社会提供相关的预防保健信息、健康咨询等专业技术服务。</w:t>
        <w:br/>
        <w:t>9.负责全州疾病预防控制业务人员的技术培训和业务指导。</w:t>
        <w:br/>
        <w:t>10.开展卫生防病检验和实验室质量控制。</w:t>
        <w:br/>
        <w:t>11.对全州范围内存在的地方病（鼠疫、布病、碘缺乏病、氟中毒、砷中毒、黑热病、包虫病）进行调查、预防和治疗。</w:t>
        <w:br/>
        <w:t>克州疾病预防控制中心现有干部职工88人,其中：汉族24人，少数民族64人；男36人，女52人；大学学历8人，占比9.1%，大专学历13人，占比14.7%，中专学历65人，占比73.9%，高中学历2人，占比2.3%；管理岗位8人，工勤岗位5人，卫生专业技术岗位75人，其中：高级职称9人；中级职称21人；初级职称45人。</w:t>
        <w:br/>
        <w:t>下属克州公共卫生防疫消杀所，现有干部8人，其中：汉族4人，少数民族4人；男2人，女6人；大学学历5人，大专学历1人，中专学历2人；卫生专业技术岗位8人，其中：初级职称8人。</w:t>
        <w:br/>
        <w:t>　　3.资金投入和使用情况</w:t>
        <w:br/>
        <w:t>根据《关于下达2021年卫生健康领域第一批中央基建投资预算（拨款）的通知》（克财建【2021】48号）、《自治州发改委关于下达2021年卫生健康领域第一批中央预算内投资计划的通知》（克发改投资【2021】11号）的安排下达资金2000万元，为中央转移支付资金，最终确定项目资金总数为2000万元。其中：中央财政拨款2000万元，上年结余1351.18万元。</w:t>
        <w:br/>
        <w:t>截至2022年12月31日，实际支出929.86万元，预算执行率68.82%。</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（二）项目绩效目标。包括总体目标和阶段性目标。</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（二）项目绩效目标</w:t>
        <w:br/>
        <w:t>　　项目绩效目标包括项目绩效总目标和阶段性目标。</w:t>
        <w:br/>
        <w:t>　　1.项目绩效总目标</w:t>
        <w:br/>
        <w:t>　 该项目上年结余1351.18万元，其中财政拨款1351.18万元，其他资金0万元。项目主要是对克州疾控中心现有的 2800 平方米的实验室用房按照生物安全二级实验室的标准进行改造升级，购置检测设备及附属设施建设，主要包括：1、2800 平方米实验室升级改造：对克州疾病预防控制中心实 验室通风、墙地面、给排水、电力、采暖及其他系统按照生物二级实验室 标准予以装修改造，满足各类指标检测的要求；2、购置检测仪器设备共计 97 台（套）及 1 台疫苗冷链运输车； 3、购置信息化系统终端及配套设备。为全面改善克州重大疫情防 控救治能力短板，提高平战结合能力，提升克州疾病预防控制中心实验室 核酸检测、微生物检验、生活饮用水监测能力，加强克州生物安全防护能 力建设。</w:t>
        <w:br/>
        <w:t>　　2.阶段性目标</w:t>
        <w:b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</w:t>
        <w:br/>
        <w:t>　　（1）项目产出目标</w:t>
        <w:br/>
        <w:t>　　①数量指标</w:t>
        <w:br/>
        <w:t>　　“购置检测仪器设备”指标，预期指标值为≥97台；</w:t>
        <w:br/>
        <w:t>　　“购置信息化系统终端及配套设备”指标，预期指标值为=1项；</w:t>
        <w:br/>
        <w:t>　　②质量指标</w:t>
        <w:br/>
        <w:t>　　“购置检测仪器设备验收合格率”指标，预期指标值为＝100%；</w:t>
        <w:br/>
        <w:t>“工程项目验收通过率”指标，预期指标值为＝100%；</w:t>
        <w:br/>
        <w:t>“新建设施达到抗震防疫要求”指标，预期指标值为＝100%。</w:t>
        <w:br/>
        <w:t>　　③时效指标</w:t>
        <w:br/>
        <w:t>“设施设备项目采购完成率”指标，预期指标值为=100%；</w:t>
        <w:br/>
        <w:t>“工程项目按计划完工率”指标，预期指标值为≥90%。</w:t>
        <w:br/>
        <w:t>　　④成本指标</w:t>
        <w:br/>
        <w:t>　　“工程费用：实验室改造成本”指标，预期指标值为≤440.70万元；</w:t>
        <w:br/>
        <w:t>　　“设备采购成本（万元）”指标，预期指标值为≤910.48万元；</w:t>
        <w:br/>
        <w:t>　　（2）项目效益目标</w:t>
        <w:br/>
        <w:t>　　①经济效益指标</w:t>
        <w:br/>
        <w:t>　　无</w:t>
        <w:br/>
        <w:t>　　②社会效益指标</w:t>
        <w:br/>
        <w:t>　　“改善医疗卫生基础设施条件、医疗卫生资源配置”指标，预期指标值为有效提高；</w:t>
        <w:br/>
        <w:t>　　③生态效益指标</w:t>
        <w:br/>
        <w:t>　　无</w:t>
        <w:br/>
        <w:t>　　④可持续影响</w:t>
        <w:br/>
        <w:t>　　“提高指导基层防控能力  持续提高疾控中心防控服务能力”指标，预期指标值为持续提高；</w:t>
        <w:br/>
        <w:t>⑤满意度指标</w:t>
        <w:br/>
        <w:t>　　“单位服务人员满意度（%）”指标，预期指标值为≥95%。</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二、绩效评价工作开展情况</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（一）绩效评价目的、对象和范围。</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（一）绩效评价目的、对象和范围</w:t>
        <w:br/>
        <w:t>　　1.绩效评价目的</w:t>
        <w:b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　　2.绩效评价对象</w:t>
        <w:b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　　3.绩效评价范围</w:t>
        <w:br/>
        <w:t>　　本次评价范围涵盖项目总体绩效目标、各项绩效指标完成情况以及预算执行情况。覆盖项目预算资金支出的所有内容进行评价。包括项目决策、项目实施和项目成果验收流程等。</w:t>
        <w:br/>
        <w:t>　</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（二）绩效评价原则、评价指标体系、评价方法评价标准</w:t>
        <w:br/>
        <w:t>　　1.绩效评价原则</w:t>
        <w:br/>
        <w:t>　　本次评价坚持定量优先、定量与定性相结合的方式，始终遵循科学规范、公正公开、分级分类、绩效相关的基本原则。通过对2022年度新冠肺炎实验室中央投资项目资金进行绩效评价，旨在了解项目资金使用和项目管理情况、取得的成绩及效益，进而分析在政策执行、预算资金安排、项目实施等方面存在的问题并提出针对性建议。本次绩效评价遵循的原则包括：</w:t>
        <w:br/>
        <w:t>　　（1）科学公正。绩效评价应当运用科学合理的方法，按照规范的程序，对项目绩效进行客观、公正的反映。</w:t>
        <w:br/>
        <w:t>　　（2）统筹兼顾。单位自评、部门评价和财政评价应职责明确，各有侧重，相互衔接。单位自评应由项目单位自主实施，即“谁支出、谁自评”。部门评价和财政评价应在单位自评的基础上开展，必要时可委托第三方机构实施。</w:t>
        <w:br/>
        <w:t>　　（3）激励约束。绩效评价结果应与预算安排、政策调整、改进管理实质性挂钩，体现奖优罚劣和激励相容导向，有效要安排、低效要压减、无效要问责。</w:t>
        <w:br/>
        <w:t>　　（4）公开透明。绩效评价结果应依法依规公开，并自觉接受社会监督。</w:t>
        <w:br/>
        <w:t>　　2.绩效评价指标体系</w:t>
        <w:br/>
        <w:t>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</w:t>
        <w:br/>
        <w:t>　　一级指标为：决策、过程、产出、效益。</w:t>
        <w:br/>
        <w:t>　　二级指标为：项目立项、绩效目标、资金投入、资金管理、组织实施、产出数量、产出质量、产出时效、产出成本、项目效益。</w:t>
        <w:b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</w:t>
        <w:br/>
        <w:t>　　3.绩效评价方法</w:t>
        <w:br/>
        <w:t>本次绩效评价方法的选用坚持简便有效的原则采用成本效益分析法、比较法、综合指数评价法、公众评判法等多种方法，具体评价方法如下：</w:t>
        <w:br/>
        <w:t>（1）成本效益分析法，是指将一定时期内总成本与总效益进行对比分析，以评价绩效目标实现程度。</w:t>
        <w:br/>
        <w:t>（2）比较法，通过整理本项目相关资料和数据，评价数量指标的完成情况；通过分析项目的实施情况与绩效目标实现情况，评价项目实施的效果；通过分析项目资金使用情况及产生的效果，评价预算资金分配的合理性。 </w:t>
        <w:br/>
        <w:t>（3）综合指数评价法，是指把各项绩效指标的实际水平，对照评价标准值，分别计算各项指标评价得分，再按照设定的各项指标权数计算出综合评价得分，分析评价绩效目标实现情况的评价方法。</w:t>
        <w:br/>
        <w:t>　　（4）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　　4.绩效评价标准</w:t>
        <w:b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（三）绩效评价工作过程。</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（三）绩效评价工作过程</w:t>
        <w:br/>
        <w:t>　　本次评价成立了评价工作组，成员如下：</w:t>
        <w:br/>
        <w:t>　　本次评价设计了评价方案、评价指标体系，通过资料分析、调研、访谈满意度调查等方式形成评价结论，在与项目单位沟通后确定评价意见，并出具评价报告。</w:t>
        <w:br/>
        <w:t>　　第一阶段：前期准备。认真学习相关要求与规定，成立绩效评价工作组，作为绩效评价工作具体实施机构。成员构成如下：</w:t>
        <w:br/>
        <w:t>　　王生国任评价组组长，职务为中心书记长，绩效评价工作职责为负责全盘工作。</w:t>
        <w:br/>
        <w:t>　　曹远军任评价组副组长，绩效评价工作职责为对项目实施情况进行实地调查。</w:t>
        <w:br/>
        <w:t>　　郭蓁任评价组成员，绩效评价工作职责为负责资料审核等工作。</w:t>
        <w:br/>
        <w:t>　　第二阶段：组织实施。经评价组通过实地调研等方式，采用综合分析法对项目的决策、管理、绩效进行的综合评价分析。</w:t>
        <w:br/>
        <w:t>　　第三阶段：分析评价。首先按照指标体系进行定量、定性分析。其次开展量化打分、综合评价工作，形成初步评价结论。最后归纳整体项目情况与存在问题，撰写部门绩效评价报告。</w:t>
        <w:br/>
        <w:t>　　第四阶段：撰写与提交评价报告</w:t>
        <w:br/>
        <w:t>　　项目撰写绩效评价报告，按照财政局大平台绩效系统中统一格式和文本框架撰写绩效评价报告。</w:t>
        <w:br/>
        <w:t>　　第五阶段：归集档案</w:t>
        <w:br/>
        <w:t>　　建立和落实档案管理制度，将项目相关资料存档，包括但不限于：评价项目基本情况和相关文件、评价实施方案、项目支付资料等相关档案。</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三、综合评价情况及评价结论</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（一）综合评价情况</w:t>
        <w:b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　　评价组对照项目绩效评价指标体系，从决策、过程、产出和效益四个维度，通过数据采集、实地调研和问卷访谈等方式，对“2022年度新冠肺炎实验室中央投资”项目绩效进行客观公正的评价，本项目总得分为90.4分，绩效评级属于“优”。其中，决策类指标得分20分，过程类指标得分18.44分，产出类指标得分35.08分，效益类指标得分16.88分。</w:t>
        <w:br/>
        <w:t>　　（二）综合评价结论</w:t>
        <w:br/>
        <w:t>　　经评价，本项目达到了年初设立的绩效目标，在实施过程中取得了良好的成效，具体表现在：2022年12月31日，该项目执行数为929.86万元，已完成购置检测仪器设备90台，购置信息化系统终端及配套设备1项，通过该项目的实施，全面改善克州重大疫情防控救治能力短板，提高平战结合能力，提升克州疾病预防控制中心实验室核酸检测、微生物检验、生活饮用水监测能力，加强克州生物安全防护能力建设。</w:t>
      </w:r>
    </w:p>
    <w:p>
      <w:pPr>
        <w:spacing w:line="570" w:lineRule="exact"/>
        <w:ind w:firstLine="624" w:firstLineChars="200"/>
        <w:rPr>
          <w:rStyle w:val="17"/>
          <w:rFonts w:ascii="黑体" w:hAnsi="黑体" w:eastAsia="黑体" w:cs="黑体"/>
          <w:b w:val="0"/>
          <w:sz w:val="32"/>
          <w:szCs w:val="32"/>
        </w:rPr>
      </w:pPr>
      <w:r>
        <w:rPr>
          <w:rStyle w:val="17"/>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四、绩效评价指标分析</w:t>
        <w:br/>
        <w:t>　　（一）项目决策情况</w:t>
        <w:br/>
        <w:t>　　项目决策类指标包括项目立项、绩效目标和资金投入三方面的内容，由6个三级指标构成，权重分为 20 分，实际得分20分，得分率为100%。</w:t>
        <w:br/>
        <w:t>　　（1）立项依据充分性：根据（克财建【2021】48号）文件《关于下达2021年卫生健康领域第一批中央基建投资预算（拨款）的通知》》、（克发改投资【2021】11号）文件《自治州发改委关于下达2021年卫生健康领域第一批中央预算内投资计划的通知》的要求并结合克州疾病预防控制中心职责组织实施。围绕克州疾病预防控制中心年度工作重点和工作计划制定经费预算，根据评分标准，该指标不扣分，得3分。</w:t>
        <w:br/>
        <w:t>　　（2）立项程序规范性：根据决策依据编制工作计划和经费预算，经过与克州疾病预防控制中心财经领导小组进行沟通、筛选确定经费预算计划，上局务会研究确定最终预算方案，根据评分标准，该指标不扣分，得2分。</w:t>
        <w:br/>
        <w:t>　　（3）绩效目标合理性：制定了实施方案，明确了总体思路及目标、并对任务进行了详细分解，对目标进行了细化，根据评分标准，该指标不扣分，得3分。</w:t>
        <w:br/>
        <w:t>　　（4）绩效指标明确性：将项目绩效目标细化分解为具体的绩效指标，根据评分标准，该指标不扣分，得2分。</w:t>
        <w:br/>
        <w:t>　　（5）预算编制科学性：根据（克财建【2021】48号）文件《关于下达2021年卫生健康领域第一批中央基建投资预算（拨款）的通知》》、（克发改投资【2021】11号）文件《自治州发改委关于下达2021年卫生健康领域第一批中央预算内投资计划的通知》，实际完成内容与项目内容匹配，项目投资额与工作任务相匹配，根据评分标准，该指标不扣分，得5分。</w:t>
        <w:br/>
        <w:t>　　（6）资金分配合理性：资金分配按照对克州疾控中心现有的 2800 平方米的实验室用房按照生 物安全二级实验室的标准进行改造升级，购置检测设备及附属设施建设， 主要包括：1、2800 平方米实验室升级改造：对克州疾病预防控制中心实 验室通风、墙地面、给排水、电力、采暖及其他系统按照生物二级实验室 标准予以装修改造，满足各类指标检测的要求；2、购置检测仪器设备共计 97 台（套）及 1 台疫苗冷链运输车； 3、购置信息化系统终端及配套设备。资金分配与实际相适应，根据评分标准，该指标不扣分，得5分。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（二）项目过程情况</w:t>
        <w:br/>
        <w:t>　　项目过程类指标包括资金管理和组织实施两方面的内容，由5个三级指标构成，权重分为20分，实际得分20分，得分率为100%。</w:t>
        <w:br/>
        <w:t>　　（1）资金到位率：今年该项目总投资1351.18万元，其中当年财政拨款1351.8万元，财政资金足额拨付到位，根据评分标准，该指标不扣分，得5分。</w:t>
        <w:br/>
        <w:t>　　（2）预算执行率：本项目申请预算金额为1351.18万元，预算批复实际下达金额为1351.18万元，截至2022年12月31日，资金执行929.86万元，资金执行率68.82%。项目资金支出总体能够按照预算执行，根据评分标准，得分=（实际支出资金/实际到位资金）×100%*5=（929.86/1351.18）×100%*5=3.44该指标扣1.56分，得3.44分。偏差原因：受疫情影响，新疆建筑设计研究院对项目初步设计延迟导致招投标延迟至年底疫情结束后才开始进行，疫苗冷链车正在申请州机关事务管理中心批复。改进措施：12月14日招投标已完成，督促中标方保值保量完成实验室改造项目工程。2023年完成疫苗冷链车及结余资金购置检测仪器设备。</w:t>
        <w:br/>
        <w:t>　　（3）资金使用合规性：根据（克财建【2021】48号）文件《关于下达2021年卫生健康领域第一批中央基建投资预算（拨款）的通知》》、（克发改投资【2021】11号）文件《自治州发改委关于下达2021年卫生健康领域第一批中央预算内投资计划的通知》符合预算批复规定用途，不存在截留、挤占、挪用、虚列支出等情况，未发现违规使用情况，根据评分标准，该指标不扣分，得5分。</w:t>
        <w:br/>
        <w:t>　　（4）管理制度健全性：该项目严格按照《克州疾病预防控制中心财务制度》及发改委项目资金相关的制度和管理规定实施，对财政专项资金进行严格管理，基本做到了专款专用，根据评分标准，该指标不扣分，得2分。</w:t>
        <w:br/>
        <w:t>　　（5）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（三）项目产出情况</w:t>
        <w:br/>
        <w:t>　　项目产出类指标包括产出数量、产出质量、产出时效、产出成本四方面的内容，由,9个三级指标构成，权重分为40分，实际得分35.08分，得分率为87.7%。</w:t>
        <w:br/>
        <w:t>　　（1）对于“产出数量”</w:t>
        <w:br/>
        <w:t>　购置检测仪器设备97台，实际完成值为90台，偏差率为7.22% ，偏差原因：受疫情影响，新疆建筑设计研究院对项目初步设计延迟导致招投标延迟至年底疫情结束后才开始进行，疫苗冷链车正在申请州机关事务管理中心批复。改进措施：12月14日招投标已完成，督促中标方保值保量完成实验室改造项目工程。2023年完成疫苗冷链车及结余资金购置检测仪器设备。根据评分标准，得分=（实际产出数/计划产出数）×100%*5分=（90/97）×100%*5分=4.64，该指标扣0.36分，得4.64分。</w:t>
        <w:br/>
        <w:t>　　购置信息化系统终端及配套设备1项，与预期目标一致，根据评分标准，该指标不扣分，得5分。</w:t>
        <w:br/>
        <w:t>　　合计得9.64分。</w:t>
        <w:br/>
        <w:t>　　（2）对于“产出质量”：</w:t>
        <w:br/>
        <w:t>　　购置检测仪器设备验收合格率100%，与预期目标一致，根据评分标准，该指标不扣分，得4分。</w:t>
        <w:br/>
        <w:t>工程项目验收通过率100%，与预期目标一致，根据评分标准，该指标不扣分，得3分。</w:t>
        <w:br/>
        <w:t xml:space="preserve">    新建设施达到抗震防疫要求100%，与预期目标一致，根据评分标准，该指标不扣分，得3分。</w:t>
        <w:br/>
        <w:t>　　合计得10分。</w:t>
        <w:br/>
        <w:t>　　（3）对于“产出时效”：</w:t>
        <w:br/>
        <w:t>设施设备项目采购完成率100%，实际完成值为92.78%，偏差率为7.22% ，偏差原因：受疫情影响，新疆建筑设计研究院对项目初步设计延迟导致招投标延迟至年底疫情结束后才开始进行，疫苗冷链车正在申请州机关事务管理中心批复。改进措施：12月14日招投标已完成，督促中标方保值保量完成实验室改造项目工程。2023年完成疫苗冷链车及结余资金购置检测仪器设备。根据评分标准，得分=（实际完成率/计划完成率）×100%*5=（92.78%/100%）×100%*5=4.64，该指标扣0.36分，得4.64分。</w:t>
        <w:br/>
        <w:t>工程项目按计划完工率90%，与预期目标一致，根据评分标准，该指标不扣分，得5分。</w:t>
        <w:br/>
        <w:t>　　合计得9.64分。</w:t>
        <w:br/>
        <w:t>　　（4）对于“产出成本”：</w:t>
        <w:br/>
        <w:t>该项目本年支出金额929.86万元，项目经费能够控制在绩效目标范围内。</w:t>
        <w:br/>
        <w:t>工程费用：实验室改造成本440.70万元，实际完成值为119.12万元，偏差率为72.97% ，偏差原因：受疫情影响，新疆建筑设计研究院对项目初步设计延迟导致招投标延迟至年底疫情结束后才开始进行，疫苗冷链车正在申请州机关事务管理中心批复。改进措施：12月14日招投标已完成，督促中标方保值保量完成实验室改造项目工程。2023年完成疫苗冷链车及结余资金购置检测仪器设备。根据评分标准，得分=（实际支出资金/实际到位资金）×100%*5=（119.12/440.70）×100%*5=1.35，该指标扣3.65分，得1.35分。</w:t>
        <w:br/>
        <w:t>设备采购成本910.48万元，实际完成810.74万元，偏差率为10.95% ，偏差原因：受疫情影响，新疆建筑设计研究院对项目初步设计延迟导致招投标延迟至年底疫情结束后才开始进行，疫苗冷链车正在申请州机关事务管理中心批复。改进措施：12月14日招投标已完成，督促中标方保值保量完成实验室改造项目工程。2023年完成疫苗冷链车及结余资金购置检测仪器设备。根据评分标准，得分=（实际支出资金/实际到位资金）×100%*5=（810.74/910.48）×100%*5=4.45，该指标扣0.55分，得4.45分。合计得5.8分。</w:t>
        <w:br/>
        <w:t>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（四）项目效益情况</w:t>
        <w:br/>
        <w:t>　　项目效益类指标包括项目效益1个方面的内容，由2个三级指标构成，权重分为20分，实际得分16.88分，得分率为84.4%。</w:t>
        <w:br/>
        <w:t>　　（1）实施效益指标：</w:t>
        <w:br/>
        <w:t>　　对于“社会效益指标”：</w:t>
        <w:br/>
        <w:t>　　改善医疗卫生基础设施条件，与预期指标不一致，根据评分标准，实际得分=（实际完成值/预期目标值）*100%*5=3.44分，该指标不扣分，得1.56分。</w:t>
        <w:br/>
        <w:t>　　存在偏差：预期绩效目标有效提高，实际完成值为部分达成年度指标并具有一定效果，偏差率为31.2%，偏差原因：受疫情影响，新疆建筑设计研究院对项目初步设计延迟导致招投标延迟至年底疫情结束后才开始进行，疫苗冷链车正在申请州机关事务管理中心批复。改进措施：12月14日招投标已完成，督促中标方保值保量完成实验室改造项目工程。2023年完成疫苗冷链车及结余资金购置检测仪器设备；根据评分标准，该指标扣1.56分，得3.44分。</w:t>
        <w:br/>
        <w:t>　　对于“可持续影响指标”：</w:t>
        <w:br/>
        <w:t>　　提高指导基层防控能力，持续提高疾控中心防控服务能力，与预期指标不一致，根据评分标准，实际得分=（实际完成值/预期目标值）*100%*5=3.44分，该指标不扣分，得1.56分。</w:t>
        <w:br/>
        <w:t>　　存在偏差：预期绩效目标持续提高，实际完成值为部分达成年度指标并具有一定效果，偏差率为31.2%，偏差原因：受疫情影响，新疆建筑设计研究院对项目初步设计延迟导致招投标延迟至年底疫情结束后才开始进行，疫苗冷链车正在申请州机关事务管理中心批复。改进措施：12月14日招投标已完成，督促中标方保值保量完成实验室改造项目工程。2023年完成疫苗冷链车及结余资金购置检测仪器设备；根据评分标准，该指标扣1.56分，得3.44分。</w:t>
        <w:br/>
        <w:t>　　对于“经济效益指标”：</w:t>
        <w:br/>
        <w:t>　　本项目无该指标。</w:t>
        <w:br/>
        <w:t>　　对于“生态效益指标”：</w:t>
        <w:br/>
        <w:t>　　本项目无该指标。</w:t>
        <w:br/>
        <w:t>　　实施效益指标合计得10分。</w:t>
        <w:br/>
        <w:t>　　（2）满意度指标：</w:t>
        <w:br/>
        <w:t>　　对于满意度指标：单位服务人员满意度95%与预期目标一致，根据评分标准，该指标不扣分，得10分。</w:t>
      </w:r>
    </w:p>
    <w:p>
      <w:pPr>
        <w:spacing w:line="570" w:lineRule="exact"/>
        <w:ind w:firstLine="624" w:firstLineChars="200"/>
        <w:rPr>
          <w:rStyle w:val="17"/>
          <w:rFonts w:ascii="黑体" w:hAnsi="黑体" w:eastAsia="黑体" w:cs="黑体"/>
          <w:b w:val="0"/>
          <w:spacing w:val="-4"/>
          <w:sz w:val="32"/>
          <w:szCs w:val="32"/>
        </w:rPr>
      </w:pPr>
      <w:bookmarkStart w:id="0" w:name="_GoBack"/>
      <w:bookmarkEnd w:id="0"/>
      <w:r>
        <w:rPr>
          <w:rStyle w:val="17"/>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7"/>
          <w:rFonts w:hint="eastAsia" w:ascii="仿宋" w:hAnsi="仿宋" w:eastAsia="仿宋" w:cs="仿宋"/>
          <w:b w:val="0"/>
          <w:bCs w:val="0"/>
          <w:spacing w:val="-4"/>
          <w:sz w:val="32"/>
          <w:szCs w:val="32"/>
        </w:rPr>
        <w:t>　　五、预算执行进度与绩效指标偏差情况</w:t>
        <w:br/>
        <w:t>2022年度新冠肺炎实验室中央投资项目预算1351.8万元，到位1351.18万元，实际支出929.86万元，预算执行率为68.8%，项目绩效指标总体完成率为87.2%，偏差率为18.4%，偏差原因：受疫情影响，新疆建筑设计研究院对项目初步设计延迟导致招投标延迟至年底疫情结束后才开始进行，疫苗冷链车正在申请州机关事务管理中心批复。改进措施：12月14日招投标已完成，督促中标方保值保量完成实验室改造项目工程。2023年完成疫苗冷链车及结余资金购置检测仪器设备。</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六、主要经验及做法、存在的问题及原因分析</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（一）主要经验及做法</w:t>
        <w:br/>
        <w:t>一是本项目能够严格按照《项目实施方案》执行，项目执行情况较好。</w:t>
        <w:br/>
        <w:t>二是加强组织领导，本项目绩效评价工作，有县政府主要领导亲自挂帅，分管县领导具体负责，从项目到资金，均能后很好的执行。</w:t>
        <w:br/>
        <w:t>三是加强沟通协调，我单位及时向县领导汇报项目建设进度，加强与实施单位的沟通，确保项目按期完工。　　</w:t>
        <w:br/>
        <w:t>（二）存在问题及原因分析</w:t>
        <w:b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七、有关建议</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1.项目建设的程序进一步规范。项目前期做好工作计划，细化实施方案，严格执行资金管理办法和财政资金管理制度，严格按照项目工作计划及实施方案稳步推进工作，单位根据自己项目的特点进行总结。</w:t>
        <w:br/>
        <w:t>　　2.项目评价资料有待进一步完善。项目启动时同步做好档案的归纳与整理，及时整理、收集、汇总，健全档案资料。项目后续管理有待进一步加强和跟踪。</w:t>
        <w:br/>
        <w:t>　　3.通过绩效管理，发现实施中存在漏洞，以后加强管理，及时掌握与之相关的各类信息，减少成本，使资金效益最大化。</w:t>
        <w:br/>
        <w:t>4．评价工作应从项目实施方案源头抓起，评价工作和意识应贯穿项目整个过程。</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八、其他需要说明的问题</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cs="仿宋"/>
          <w:b w:val="0"/>
          <w:bCs w:val="0"/>
          <w:spacing w:val="-4"/>
          <w:sz w:val="32"/>
          <w:szCs w:val="32"/>
        </w:rPr>
        <w:t>我单位对上述项目支出绩效评价报告内反映内容的真实性、完整性负责，接受上级部门及社会监督。</w:t>
        <w:br/>
        <w:t>附件1：2022年度新冠肺炎实验室中央投资项目绩效评价指标体系及评分标准</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qFormat/>
    <w:uiPriority w:val="1"/>
  </w:style>
  <w:style w:type="table" w:default="1" w:styleId="19">
    <w:name w:val="Normal Table"/>
    <w:semiHidden/>
    <w:unhideWhenUsed/>
    <w:qFormat/>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35</TotalTime>
  <ScaleCrop>false</ScaleCrop>
  <LinksUpToDate>false</LinksUpToDate>
  <CharactersWithSpaces>742</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Administrator</cp:lastModifiedBy>
  <cp:lastPrinted>2018-12-31T10:56:00Z</cp:lastPrinted>
  <dcterms:modified xsi:type="dcterms:W3CDTF">2022-03-08T10:49:50Z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