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0CCDEF">
      <w:pPr>
        <w:spacing w:line="570" w:lineRule="exact"/>
        <w:jc w:val="center"/>
        <w:rPr>
          <w:rFonts w:ascii="华文中宋" w:hAnsi="华文中宋" w:eastAsia="华文中宋" w:cs="宋体"/>
          <w:b/>
          <w:kern w:val="0"/>
          <w:sz w:val="52"/>
          <w:szCs w:val="52"/>
        </w:rPr>
      </w:pPr>
      <w:bookmarkStart w:id="0" w:name="_GoBack"/>
      <w:bookmarkEnd w:id="0"/>
    </w:p>
    <w:p w14:paraId="1D9343C7">
      <w:pPr>
        <w:spacing w:line="570" w:lineRule="exact"/>
        <w:jc w:val="center"/>
        <w:rPr>
          <w:rFonts w:ascii="华文中宋" w:hAnsi="华文中宋" w:eastAsia="华文中宋" w:cs="宋体"/>
          <w:b/>
          <w:kern w:val="0"/>
          <w:sz w:val="52"/>
          <w:szCs w:val="52"/>
        </w:rPr>
      </w:pPr>
    </w:p>
    <w:p w14:paraId="230D5255">
      <w:pPr>
        <w:spacing w:line="570" w:lineRule="exact"/>
        <w:jc w:val="center"/>
        <w:rPr>
          <w:rFonts w:ascii="华文中宋" w:hAnsi="华文中宋" w:eastAsia="华文中宋" w:cs="宋体"/>
          <w:b/>
          <w:kern w:val="0"/>
          <w:sz w:val="52"/>
          <w:szCs w:val="52"/>
        </w:rPr>
      </w:pPr>
    </w:p>
    <w:p w14:paraId="6A1D7C57">
      <w:pPr>
        <w:spacing w:line="570" w:lineRule="exact"/>
        <w:jc w:val="center"/>
        <w:rPr>
          <w:rFonts w:ascii="华文中宋" w:hAnsi="华文中宋" w:eastAsia="华文中宋" w:cs="宋体"/>
          <w:b/>
          <w:kern w:val="0"/>
          <w:sz w:val="52"/>
          <w:szCs w:val="52"/>
        </w:rPr>
      </w:pPr>
    </w:p>
    <w:p w14:paraId="3289F910">
      <w:pPr>
        <w:spacing w:line="570" w:lineRule="exact"/>
        <w:jc w:val="both"/>
        <w:rPr>
          <w:rFonts w:ascii="华文中宋" w:hAnsi="华文中宋" w:eastAsia="华文中宋" w:cs="宋体"/>
          <w:b/>
          <w:kern w:val="0"/>
          <w:sz w:val="52"/>
          <w:szCs w:val="52"/>
        </w:rPr>
      </w:pPr>
    </w:p>
    <w:p w14:paraId="0AA850AD">
      <w:pPr>
        <w:spacing w:line="570" w:lineRule="exact"/>
        <w:jc w:val="center"/>
        <w:rPr>
          <w:rFonts w:ascii="华文中宋" w:hAnsi="华文中宋" w:eastAsia="华文中宋" w:cs="宋体"/>
          <w:b/>
          <w:kern w:val="0"/>
          <w:sz w:val="52"/>
          <w:szCs w:val="52"/>
        </w:rPr>
      </w:pPr>
    </w:p>
    <w:p w14:paraId="5ED6BA31">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14:paraId="723ED919">
      <w:pPr>
        <w:spacing w:line="570" w:lineRule="exact"/>
        <w:jc w:val="center"/>
        <w:rPr>
          <w:rFonts w:ascii="华文中宋" w:hAnsi="华文中宋" w:eastAsia="华文中宋" w:cs="宋体"/>
          <w:b/>
          <w:kern w:val="0"/>
          <w:sz w:val="52"/>
          <w:szCs w:val="52"/>
        </w:rPr>
      </w:pPr>
    </w:p>
    <w:p w14:paraId="79E96F2D">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22C9B9E3">
      <w:pPr>
        <w:spacing w:line="570" w:lineRule="exact"/>
        <w:jc w:val="center"/>
        <w:rPr>
          <w:rFonts w:hAnsi="宋体" w:eastAsia="仿宋_GB2312" w:cs="宋体"/>
          <w:kern w:val="0"/>
          <w:sz w:val="30"/>
          <w:szCs w:val="30"/>
        </w:rPr>
      </w:pPr>
    </w:p>
    <w:p w14:paraId="5AFF1F24">
      <w:pPr>
        <w:spacing w:line="570" w:lineRule="exact"/>
        <w:jc w:val="center"/>
        <w:rPr>
          <w:rFonts w:hAnsi="宋体" w:eastAsia="仿宋_GB2312" w:cs="宋体"/>
          <w:kern w:val="0"/>
          <w:sz w:val="30"/>
          <w:szCs w:val="30"/>
        </w:rPr>
      </w:pPr>
    </w:p>
    <w:p w14:paraId="338E60A0">
      <w:pPr>
        <w:spacing w:line="570" w:lineRule="exact"/>
        <w:jc w:val="center"/>
        <w:rPr>
          <w:rFonts w:hAnsi="宋体" w:eastAsia="仿宋_GB2312" w:cs="宋体"/>
          <w:kern w:val="0"/>
          <w:sz w:val="30"/>
          <w:szCs w:val="30"/>
        </w:rPr>
      </w:pPr>
    </w:p>
    <w:p w14:paraId="22528930">
      <w:pPr>
        <w:spacing w:line="570" w:lineRule="exact"/>
        <w:jc w:val="center"/>
        <w:rPr>
          <w:rFonts w:hAnsi="宋体" w:eastAsia="仿宋_GB2312" w:cs="宋体"/>
          <w:kern w:val="0"/>
          <w:sz w:val="30"/>
          <w:szCs w:val="30"/>
        </w:rPr>
      </w:pPr>
    </w:p>
    <w:p w14:paraId="3035DEC6">
      <w:pPr>
        <w:spacing w:line="570" w:lineRule="exact"/>
        <w:jc w:val="center"/>
        <w:rPr>
          <w:rFonts w:hAnsi="宋体" w:eastAsia="仿宋_GB2312" w:cs="宋体"/>
          <w:kern w:val="0"/>
          <w:sz w:val="30"/>
          <w:szCs w:val="30"/>
        </w:rPr>
      </w:pPr>
    </w:p>
    <w:p w14:paraId="11FCE1CA">
      <w:pPr>
        <w:spacing w:line="570" w:lineRule="exact"/>
        <w:jc w:val="center"/>
        <w:rPr>
          <w:rFonts w:hAnsi="宋体" w:eastAsia="仿宋_GB2312" w:cs="宋体"/>
          <w:kern w:val="0"/>
          <w:sz w:val="30"/>
          <w:szCs w:val="30"/>
        </w:rPr>
      </w:pPr>
    </w:p>
    <w:p w14:paraId="55F3E73B">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群众工作经费项目</w:t>
      </w:r>
    </w:p>
    <w:p w14:paraId="3CBEAED9">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克孜勒苏柯尔克孜自治州总工会</w:t>
      </w:r>
    </w:p>
    <w:p w14:paraId="719C790D">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克孜勒苏柯尔克孜自治州总工会</w:t>
      </w:r>
    </w:p>
    <w:p w14:paraId="13AB8020">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罗菲菲</w:t>
      </w:r>
    </w:p>
    <w:p w14:paraId="08A5D336">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2023年03月29日</w:t>
      </w:r>
    </w:p>
    <w:p w14:paraId="3921C4F3">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695BF09A">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6A846B93">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656753CB">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加大阿图什市上阿图什镇阿克买拉基础设施建设力度，改善办学条件、医疗卫生条件，通过转移就业、发展产业、土地清理再分配、护边补偿、易地搬迁、生态补偿、综合社会保障等措施，使农牧民人均纯收入超过年度国家扶贫标准，不愁吃、不愁穿、义务教育有保障、基本医疗有保障、住房安全有保障。农民人均纯收入超过年度国家扶贫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总工会群众工作经费项目为小村5万元，由克州财政承担，主要用于做开展群众工作，加强民族团结，增进民族互信，突出现代文化引领，促进宗教和谐，落实民生建设任务，增加村民收入，关心关爱贫困户、低保户、残疾人等特殊家庭，帮助解决生产生活中的实际困难，提升该基层组织工作能力，改善村委会办公基层条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带头调查研究，带头听取群众意见，带头帮助基层解决问题，带头抓好整改落实，为基层干部作出表率，让各族群众感受到党员干部敢于担当、变化变革、求真务实的新变化、新面貌、新气象。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自治区“访民情惠民生聚民心”驻村工作为民办实事工作经费使用管理办法（试行）的通知》（新民办发〔2016〕62号），宣传国家相关政策及法律法规，维护社会稳定和长治久安，从而提高群众幸福度和归属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该项目由克孜勒苏柯尔克孜自治州总工会单位实施，内设2个科室，分别是财务科和办公室。主要职能是 一是根据党的基本理论、基本路线、基本纲领和工会方针，以及自治州党委和工作部署和要求，围绕党和国家的工作大局，按照自治州党委和自治区总工会的要求，贯彻执行自治州工会代表大会确定的方针、任务和工作重点的决议。二是依照法律和《中国工会章程》，组织和指导全州各级工会组织坚定不移地贯彻落实的全心全意依靠工人阶级的根本指导方针，进一步突出和履行维护职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编制人数6人，其中：行政人员编制5人、工勤1人、参公0人、事业编制0人。实有在职人数9人，其中：行政在职8人、工勤1人、参公0人、事业在职0人。离退休人员8人，其中：行政退休人员8人、事业退休0人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编制人数6人，其中：行政人员编制5人、工勤1人、参公0人、事业编制0人。实有在职人数9人，其中：行政在职8人、工勤1人、参公0人、事业在职0人。离退休人员8人，其中：行政退休人员8人、事业退休0人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根据克财预【2022】16号文本年度安排下达资金5万元，为本级财力安排资金，最终确定项目资金总数为5万元。其中：本级财政拨款5万元，上年结余0万元。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截至2022年12月31日，实际支出2.99万元，预算执行率59.8%。</w:t>
      </w:r>
    </w:p>
    <w:p w14:paraId="4A754C7E">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0A535DD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资金为群众工作经费，为做好克州总工会在基层开展各项工作的基础保障，主要用于驻村点开展民族团结联谊活动、着力解决困难村民在生产中遇到的实际困难进行帮扶和节日慰问等工作，营造安定和谐稳定的社会局面，确保工作队各项工作顺利开展，完成相关任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“为群众办实事好事”指标，预期指标值为≥9次；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“宣传开展文体活动次数”指标，预期指标值为≥4次场次；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“宣传开展群众文体活动覆盖率”指标，预期指标值为≥90%；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“经费支付及时率”指标，预期指标值为＝100%；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“宣传开展文体活动完成率”指标，预期指标值为=100%；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“为群众办实事好事经费”指标，预期指标值为4万元；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“宣传开展文体活动经费”指标，预期指标值为1万元；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“农牧民的幸福感和归属感”指标，预期指标值为进一步提升；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“维护社会稳定和长治久安”指标，预期指标值为长期坚持；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“群众满意度”指标，预期指标值为≥95%;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“驻村工作队员满意度”指标，预期指标值为100%;</w:t>
      </w:r>
    </w:p>
    <w:p w14:paraId="31BB42D8">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53F2A6B2">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14:paraId="18FFAA4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74259E60">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56B2F4D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群众工作经费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本次绩效评价方法的选用坚持简便有效的原则采用成本效益分析法、比较法、综合指数评价法、公众评判法等多种方法，具体评价方法如下：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（1）成本效益分析法，是指将一定时期内总成本与总效益进行对比分析，以评价绩效目标实现程度。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（3）综合指数评价法，是指把各项绩效指标的实际水平，对照评价标准值，分别计算各项指标评价得分，再按照设定的各项指标权数计算出综合评价得分，分析评价绩效目标实现情况的评价方法。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18FCD7D1">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00FA7CFF">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组  长：吐尔孙江·木合塔尔，职务为党组书记、主席，绩效评价工作职责为负责全盘工作。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副组长：艾力江·阿吉，绩效评价工作职责为对项目实施情况进行实地调查。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评价组成员：赵爱葵、黄林芝，绩效评价工作职责为负责资料审核等工作。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0101EAFA">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6FB5B83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群众工作经费”项目绩效进行客观公正的评价，本项目总得分为83.15分，绩效评级属于“良”。其中，决策类指标得分20分，过程类指标得分17.99分，产出类指标得分29.16分，效益类指标得分16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群众工作经费执行数为59.8%，推动了上阿图什镇阿克买村产生民生效益，其解决生产生活中的实际困难，加强民族团结，增进民族互信，突出现代文化引领，落实民生建设任务，关心关爱困难群众，实现维护社会稳定和长治久安总目标。促进行政村集体经济发展，推动新疆经济社会发展和</w:t>
      </w:r>
      <w:r>
        <w:rPr>
          <w:rStyle w:val="18"/>
          <w:rFonts w:hint="eastAsia" w:ascii="仿宋" w:hAnsi="仿宋" w:eastAsia="仿宋" w:cs="仿宋"/>
          <w:b w:val="0"/>
          <w:bCs w:val="0"/>
          <w:spacing w:val="-4"/>
          <w:sz w:val="32"/>
          <w:szCs w:val="32"/>
          <w:lang w:eastAsia="zh-CN"/>
        </w:rPr>
        <w:t>全面建成小康社会</w:t>
      </w:r>
      <w:r>
        <w:rPr>
          <w:rStyle w:val="18"/>
          <w:rFonts w:hint="eastAsia" w:ascii="仿宋" w:hAnsi="仿宋" w:eastAsia="仿宋" w:cs="仿宋"/>
          <w:b w:val="0"/>
          <w:bCs w:val="0"/>
          <w:spacing w:val="-4"/>
          <w:sz w:val="32"/>
          <w:szCs w:val="32"/>
        </w:rPr>
        <w:t>具有重大的战略意义。</w:t>
      </w:r>
    </w:p>
    <w:p w14:paraId="45303470">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0B79ED94">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2BB9999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关于下达自治州本级2022年度部门预算指标的通知（克财预〔2022〕16号）并结合克州总工会职责组织实施。围绕2022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（2）立项程序规范性：根据决策依据编制工作计划和经费预算，经过与总工会财经领导小组进行沟通、筛选确定经费预算计划，上局务会研究确定最终预算方案，根据评分标准，该指标不扣分，得2分。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 预算编制经经过《关于下达自治州本级2022年度部门预算指标的通知（克财预〔2022〕16号）实际完成内容与项目内容匹配，项目投资额与工作任务相匹配，根据评分标准，该指标不扣分，得5分。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资金分配按照《关于下达自治州本级2022年度部门预算指标的通知（克财预〔2022〕16号）文件要求，50%用于解决群众生产发展维修改造帮扶、25%用于访贫问苦活动、25%用于村级组织开展活动资金分配与实际相适应，根据评分标准，该指标不扣分，得5分。</w:t>
      </w:r>
    </w:p>
    <w:p w14:paraId="51E9C7D5">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408B4CA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项目过程类指标包括资金管理和组织实施两方面的内容，由5个三级指标构成，权重分为20分，实际得分17.99分，得分率为89.95%。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（1）资金到位率：该项目总投资5元，克州财政局实际下达经费5万元，其中当年财政拨款5万元，财政资金足额拨付到位，根据评分标准，该指标不扣分，得5分。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5万元，预算批复实际下达金额为5万元。截至2022年12月31日，资金执行2.99万元，资金执行率59.8%。项目资金支出总体能够按照预算执行，根据评分标准，得分=（实际支出资金/实际到位资金）×100%*5=（2.99/5）×100%*5=2.99，该指标扣2.01分，得2.99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根据《关于下达自治州本级2022年度部门预算指标的通知（克财预〔2022〕16号）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克州人力资源和社会保障局财务制度》及访惠聚资金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总工会党组会议研究执行，财务对资金的使用合法合规性进行监督，年底对资金使用效果进行自评，根据评分标准，该指标不扣分，得3分</w:t>
      </w:r>
    </w:p>
    <w:p w14:paraId="48DA089B">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42F6E01B">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项目产出类指标包括产出数量、产出质量、产出时效、产出成本四方面的内容，由7个三级指标构成，权重分为40分，实际得分29.16分，得分率为72.9%。</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为群众办实事好事5次，完成率为55.56%，与预期目标不一致，根据评分标准，得分=（实际产出数/计划产出数）×100%*5=（5/9）×100%*5=2.78，该指标扣2.22分，得2.78分。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存在偏差：因为疫情，被封控2个多月，但为群众办实事好事已开展，但资金未支出完成，导致执行率低，不能如期完成。采取的措施：在今后的资金管理中，及时支付各类款项。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宣传开展文体活动4次，与预期目标一致，根据评分标准，得5分。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合计得7.78分。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宣传开展群众文体活动覆盖率58.9%，与预期目标不一致，根据评分标准，得分=（质量达标产出数/实际产出数）×100%*10=（58.9%/100%）×100%*10=5.89，该指标扣4.11分，得5.89分。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存在偏差：因为疫情，被封控2个多月，但为群众办实事好事已开展，但资金未支出完成，导致执行率低，不能如期完成。采取的措施：在今后的资金管理中，及时支付各类款项。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合计得5.89分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经费支付及时率59.8%，与预期目标指标不一致，根据评分标准，得分=（实际完成率/计划完成率）×100%*5=59.8%×100%*5=2.99，该指标扣2.01分，得2.99分。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存在偏差：因为疫情，被封控2个多月，但为群众办实事好事已开展，但资金未支出完成，导致执行率低，不能如期完成。采取的措施：在今后的资金管理中，及时支付各类款项。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宣传开展文体活动完成率100%，与预期目标一致，根据评分标准，该指标不扣分，得5分。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合计得7.99分。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为群众办实事好事经费1.99万元，与预期目标指标不一致，根据评分标准，得分=（实际支出资金/实际到位资金）×100%*5=（1.99/4）×100%*5=2.5，该指标扣2.5分，得2.5分。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存在偏差：因为疫情，被封控2个多月，但为群众办实事好事已开展，但资金未支出完成，导致执行率低，不能如期完成。采取的措施：在今后的资金管理中，及时支付各类款项。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宣传开展文体活动经费1万元，与预期目标指标一致，根据评分标准，该指标不扣分，得5分。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合计得7.5分。</w:t>
      </w:r>
    </w:p>
    <w:p w14:paraId="28C7C724">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47C49E0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项目效益类指标包括项目效益1个方面的内容，由2个三级指标构成，权重分为20分，实际得分16分，得分率为80%。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进一步提升农牧民的幸福感和归属感，与预期指标不一致，根据评分标准，得分=(实际效益值/预期目标值）×100%*5=（60%/100%）×100%*5=3分，该指标扣2分，得3分。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存在偏差：因为疫情，被封控2个多月，但为群众办实事好事已开展，但资金未支出完成，导致执行率低，不能如期完成。采取的措施：在今后的资金管理中，及时支付各类款项。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长期坚持维护社会稳定和长治久安，与预期指标不一致，根据评分标准，得分=(实际效益值/预期目标值）×100%*5=（60%/100%）×100%*5=3分，该指标扣2分，得3分。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存在偏差：因为疫情，被封控2个多月，但为群众办实事好事已开展，但资金未支出完成，导致执行率低，不能如期完成。采取的措施：在今后的资金管理中，及时支付各类款项。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对于满意度指标：驻村工作队队员满意度100%，与预期目标一致，根据评分标准，该指标不扣分，得5分。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对于满意度指标：群众满意率95%，与预期目标一致，根据评分标准，该指标不扣分，得5分。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满意度指标合计得10分。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合计得16分。</w:t>
      </w:r>
    </w:p>
    <w:p w14:paraId="5142A1DA">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3E0D5B87">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预算5万元，到位5万元，实际支出2.99万元，预算执行率为59.8%，项目绩效指标总体完成率为59.8%。</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群众工作经费项目预算5万元，到位5万元，实际支出2.99万元，预算执行率为100%，项目绩效指标总体完成率为76.8%，偏差率为17%，偏差原因：因为疫情，被封控2个多月，虽然为群众办实事好事和群众文体活动已开展，但资金未支出完成，导致执行率低，不能如期完成。采取的措施：在今后的资金管理中，及时支付各类款项。</w:t>
      </w:r>
    </w:p>
    <w:p w14:paraId="03239E09">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14:paraId="2D5BE6B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本项目能够严格按照《项目实施方案》执行，项目执行情况较好。二是加强组织领导，本项目绩效评价工作，主席亲自负责，分管财务领导具体负责，从项目到资金，均能后很好地执行。三是强沟通协调，我单位及时向绩效评价项目小组汇报项目进度，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356EE721">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4E6B78D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4．评价工作应从项目实施方案源头抓起，评价工作和意识应贯穿项目整个过程。</w:t>
      </w:r>
    </w:p>
    <w:p w14:paraId="1C9D71B3">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183AEDD0">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附件1：群众工作经费项目绩效评价指标体系及评分标准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5E47EA9">
        <w:pPr>
          <w:pStyle w:val="12"/>
          <w:jc w:val="center"/>
        </w:pPr>
        <w:r>
          <w:fldChar w:fldCharType="begin"/>
        </w:r>
        <w:r>
          <w:instrText xml:space="preserve">PAGE   \* MERGEFORMAT</w:instrText>
        </w:r>
        <w:r>
          <w:fldChar w:fldCharType="separate"/>
        </w:r>
        <w:r>
          <w:rPr>
            <w:lang w:val="zh-CN"/>
          </w:rPr>
          <w:t>1</w:t>
        </w:r>
        <w:r>
          <w:fldChar w:fldCharType="end"/>
        </w:r>
      </w:p>
    </w:sdtContent>
  </w:sdt>
  <w:p w14:paraId="1AA2FFA4">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ZWIzNDg2MmIzZjExOTIzMmViNTBmYTMwYTk0ZWY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5A86AFF"/>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23</Pages>
  <Words>8281</Words>
  <Characters>8739</Characters>
  <Lines>5</Lines>
  <Paragraphs>1</Paragraphs>
  <TotalTime>35</TotalTime>
  <ScaleCrop>false</ScaleCrop>
  <LinksUpToDate>false</LinksUpToDate>
  <CharactersWithSpaces>9041</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盛夏之末√</cp:lastModifiedBy>
  <cp:lastPrinted>2018-12-31T10:56:00Z</cp:lastPrinted>
  <dcterms:modified xsi:type="dcterms:W3CDTF">2024-08-12T05:10:47Z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39F91AC500094F948AD552EDDDA48083_12</vt:lpwstr>
  </property>
</Properties>
</file>