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napToGrid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sz w:val="44"/>
          <w:szCs w:val="44"/>
        </w:rPr>
        <w:t>新疆阿克陶县霍峡尔矿区总体规划环境影响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napToGrid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sz w:val="44"/>
          <w:szCs w:val="44"/>
        </w:rPr>
        <w:t>报告书报批前公示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eastAsia="zh-CN"/>
        </w:rPr>
        <w:t>我委委托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  <w:t>新疆煤炭设计研究院有限责任公司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  <w:t>新疆阿克陶县霍峡尔矿区总体规划环境影响评价工作，根据《中华人民共和国环境影响评价法》和《环境影响评价公众参与办法》，现向公众公开本项目环境影响报告书全文和公众参与说明。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19" w:firstLineChars="138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eastAsia="zh-CN"/>
        </w:rPr>
        <w:t>自治州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  <w:t xml:space="preserve">改革委员会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  <w:t>2020年6月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2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S-u-L-T-a-N</cp:lastModifiedBy>
  <dcterms:modified xsi:type="dcterms:W3CDTF">2020-06-12T11:22:19Z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