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  <w:t>新疆阿克陶县霍峡尔矿区总体规划环境影响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  <w:t>报告书报批前公示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napToGrid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我委委托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新疆煤炭设计研究院有限责任公司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新疆阿克陶县霍峡尔矿区总体规划环境影响评价工作，根据《中华人民共和国环境影响评价法》和《环境影响评价公众参与办法》，现向公众公开本项目环境影响报告书全文和公众参与说明。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19" w:firstLineChars="1381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自治州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 xml:space="preserve">改革委员会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2020年6月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napToGrid w:val="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S-u-L-T-a-N</cp:lastModifiedBy>
  <dcterms:modified xsi:type="dcterms:W3CDTF">2020-06-12T11:22:19Z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