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49B80">
      <w:pPr>
        <w:spacing w:line="570" w:lineRule="exact"/>
        <w:jc w:val="center"/>
        <w:rPr>
          <w:rFonts w:ascii="华文中宋" w:hAnsi="华文中宋" w:eastAsia="华文中宋" w:cs="宋体"/>
          <w:b/>
          <w:kern w:val="0"/>
          <w:sz w:val="52"/>
          <w:szCs w:val="52"/>
        </w:rPr>
      </w:pPr>
    </w:p>
    <w:p w14:paraId="7DE84F11">
      <w:pPr>
        <w:spacing w:line="570" w:lineRule="exact"/>
        <w:jc w:val="center"/>
        <w:rPr>
          <w:rFonts w:ascii="华文中宋" w:hAnsi="华文中宋" w:eastAsia="华文中宋" w:cs="宋体"/>
          <w:b/>
          <w:kern w:val="0"/>
          <w:sz w:val="52"/>
          <w:szCs w:val="52"/>
        </w:rPr>
      </w:pPr>
    </w:p>
    <w:p w14:paraId="5441576D">
      <w:pPr>
        <w:spacing w:line="570" w:lineRule="exact"/>
        <w:jc w:val="center"/>
        <w:rPr>
          <w:rFonts w:ascii="华文中宋" w:hAnsi="华文中宋" w:eastAsia="华文中宋" w:cs="宋体"/>
          <w:b/>
          <w:kern w:val="0"/>
          <w:sz w:val="52"/>
          <w:szCs w:val="52"/>
        </w:rPr>
      </w:pPr>
    </w:p>
    <w:p w14:paraId="396873C1">
      <w:pPr>
        <w:spacing w:line="570" w:lineRule="exact"/>
        <w:jc w:val="center"/>
        <w:rPr>
          <w:rFonts w:ascii="华文中宋" w:hAnsi="华文中宋" w:eastAsia="华文中宋" w:cs="宋体"/>
          <w:b/>
          <w:kern w:val="0"/>
          <w:sz w:val="52"/>
          <w:szCs w:val="52"/>
        </w:rPr>
      </w:pPr>
    </w:p>
    <w:p w14:paraId="40B60A17">
      <w:pPr>
        <w:spacing w:line="570" w:lineRule="exact"/>
        <w:jc w:val="both"/>
        <w:rPr>
          <w:rFonts w:ascii="华文中宋" w:hAnsi="华文中宋" w:eastAsia="华文中宋" w:cs="宋体"/>
          <w:b/>
          <w:kern w:val="0"/>
          <w:sz w:val="52"/>
          <w:szCs w:val="52"/>
        </w:rPr>
      </w:pPr>
    </w:p>
    <w:p w14:paraId="45E8637F">
      <w:pPr>
        <w:spacing w:line="570" w:lineRule="exact"/>
        <w:jc w:val="center"/>
        <w:rPr>
          <w:rFonts w:ascii="华文中宋" w:hAnsi="华文中宋" w:eastAsia="华文中宋" w:cs="宋体"/>
          <w:b/>
          <w:kern w:val="0"/>
          <w:sz w:val="52"/>
          <w:szCs w:val="52"/>
        </w:rPr>
      </w:pPr>
    </w:p>
    <w:p w14:paraId="43356CD5">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399CF0A8">
      <w:pPr>
        <w:spacing w:line="570" w:lineRule="exact"/>
        <w:jc w:val="center"/>
        <w:rPr>
          <w:rFonts w:ascii="华文中宋" w:hAnsi="华文中宋" w:eastAsia="华文中宋" w:cs="宋体"/>
          <w:b/>
          <w:kern w:val="0"/>
          <w:sz w:val="52"/>
          <w:szCs w:val="52"/>
        </w:rPr>
      </w:pPr>
    </w:p>
    <w:p w14:paraId="232186F1">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3F9DDE9">
      <w:pPr>
        <w:spacing w:line="570" w:lineRule="exact"/>
        <w:jc w:val="center"/>
        <w:rPr>
          <w:rFonts w:hAnsi="宋体" w:eastAsia="仿宋_GB2312" w:cs="宋体"/>
          <w:kern w:val="0"/>
          <w:sz w:val="30"/>
          <w:szCs w:val="30"/>
        </w:rPr>
      </w:pPr>
    </w:p>
    <w:p w14:paraId="23F01DB5">
      <w:pPr>
        <w:spacing w:line="570" w:lineRule="exact"/>
        <w:jc w:val="center"/>
        <w:rPr>
          <w:rFonts w:hAnsi="宋体" w:eastAsia="仿宋_GB2312" w:cs="宋体"/>
          <w:kern w:val="0"/>
          <w:sz w:val="30"/>
          <w:szCs w:val="30"/>
        </w:rPr>
      </w:pPr>
    </w:p>
    <w:p w14:paraId="13F5EE98">
      <w:pPr>
        <w:spacing w:line="570" w:lineRule="exact"/>
        <w:jc w:val="center"/>
        <w:rPr>
          <w:rFonts w:hAnsi="宋体" w:eastAsia="仿宋_GB2312" w:cs="宋体"/>
          <w:kern w:val="0"/>
          <w:sz w:val="30"/>
          <w:szCs w:val="30"/>
        </w:rPr>
      </w:pPr>
    </w:p>
    <w:p w14:paraId="39626BE7">
      <w:pPr>
        <w:spacing w:line="570" w:lineRule="exact"/>
        <w:jc w:val="center"/>
        <w:rPr>
          <w:rFonts w:hAnsi="宋体" w:eastAsia="仿宋_GB2312" w:cs="宋体"/>
          <w:kern w:val="0"/>
          <w:sz w:val="30"/>
          <w:szCs w:val="30"/>
        </w:rPr>
      </w:pPr>
    </w:p>
    <w:p w14:paraId="503D3057">
      <w:pPr>
        <w:spacing w:line="570" w:lineRule="exact"/>
        <w:jc w:val="center"/>
        <w:rPr>
          <w:rFonts w:hAnsi="宋体" w:eastAsia="仿宋_GB2312" w:cs="宋体"/>
          <w:kern w:val="0"/>
          <w:sz w:val="30"/>
          <w:szCs w:val="30"/>
        </w:rPr>
      </w:pPr>
    </w:p>
    <w:p w14:paraId="2186BA2B">
      <w:pPr>
        <w:spacing w:line="570" w:lineRule="exact"/>
        <w:jc w:val="center"/>
        <w:rPr>
          <w:rFonts w:hAnsi="宋体" w:eastAsia="仿宋_GB2312" w:cs="宋体"/>
          <w:kern w:val="0"/>
          <w:sz w:val="30"/>
          <w:szCs w:val="30"/>
        </w:rPr>
      </w:pPr>
    </w:p>
    <w:p w14:paraId="6C32084A">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江苏援疆博爱家园项目</w:t>
      </w:r>
    </w:p>
    <w:p w14:paraId="47FF141D">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克孜勒苏柯尔克孜自治州红十字会</w:t>
      </w:r>
    </w:p>
    <w:p w14:paraId="5B512B27">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克孜勒苏柯尔克孜自治州红十字会</w:t>
      </w:r>
    </w:p>
    <w:p w14:paraId="42C0F9A1">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王冬梅</w:t>
      </w:r>
    </w:p>
    <w:p w14:paraId="5FD55EA5">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2023年04月12日</w:t>
      </w:r>
    </w:p>
    <w:p w14:paraId="68023BEC">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20C93C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09CFFA4">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EDD4FA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江苏援疆博爱家园项目实施前期、过程及效果，评价财政预算资金使用的效率及效益。为推动“十四五”时期中国红十字事业高质量发展，依据《中华人民共和国国民经济和社会发展第十四个五年规划和 2035 年远景目标纲要》《中华人民共和国红十字会法》和《中国红十字事业发展规划纲要(2020- -2024 年 )》及克州红十字会行业发展需要，要充分发挥红十字会自身优势，统筹推进六项核心业务，积极推进应急救护培训、人道救助、志愿服务、红十字青少年工作，充分发挥党和政府在人道领域的助手和联系群众的桥梁和纽带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20万元。全年计划开展产业融合扶持乡村振兴，帮扶10户困难群众发展养殖业，大力建设生态易居，修建博爱家园广场1个，提高群众的满意度。预期效果：一是提升群众自救互教能力紧紧围绕健康中国建设，以普及应急救护知识和技能为基础有效提升公众应急救护知识技能普及程度，为保护生命健康作出应有贡献。二是聚焦产业融合乡村合作社，大力推动乡村建设，积极助力乡村振兴工作。三是推进红十字生态易居建设工作，传播健康行为与生活方式，让广大人民群众受益。四是推进乡风文明建设，加强宣传提升红十字会知晓率，多形式开展志愿服务活动，传播“人道、博爱、奉献”的红十字精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中国红十字事业发展规划纲要》（2020-2024年），宣传国家相关政策及法律法规，截至2022年12月31日，该项目资金执行数为20万元，已完成帮扶困难群众10人，修建红十字博爱广场1个，开展三救三献宣传培训活动5次，通过该项目的实施，充分发挥红十字会自身优势，统筹推进六项核心业务，积极推进应急救护培训、人道救助、志愿服务、红十字青少年工作，充分发挥党和政府在人道领域的助手和联系群众的桥梁和纽带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孜勒苏柯尔克孜自治州红十字会单位实施，内设3个科室，分别是：克孜勒苏柯尔克孜自治州红十字会。主要职能是一是宣传、贯彻、落实《中华人民共和国红十字会法》和《中华人民共和国红十字标志使用方法》及《中国红十字会共和国</w:t>
      </w:r>
      <w:bookmarkStart w:id="0" w:name="_GoBack"/>
      <w:bookmarkEnd w:id="0"/>
      <w:r>
        <w:rPr>
          <w:rStyle w:val="18"/>
          <w:rFonts w:hint="eastAsia" w:ascii="仿宋" w:hAnsi="仿宋" w:eastAsia="仿宋" w:cs="仿宋"/>
          <w:b w:val="0"/>
          <w:bCs w:val="0"/>
          <w:spacing w:val="-4"/>
          <w:sz w:val="32"/>
          <w:szCs w:val="32"/>
        </w:rPr>
        <w:t>献血法》，指导和协调全州各级红十字会开展的各项工作。二是开展救灾、备灾工作，在自然灾害和突发事件中，对伤病员和其他受害者实施救助，参加国内外的人道主义救援工作。三是开展人道领域内的社会服务和社会公益活动；组织开展群众性的初级卫生救护训练和现场急救；推动无偿献血和非血缘关系骨髓移植工作的发展以及捐献遗体器官的宣传工作。四是组织红十字青少年开展社会精神文明和弘扬人道主义精神的活动。五是参与国际和国内红十字活动，加强同各国和国内各级各级红十字会的友好交往与合作。六是宣传国际红十字会与红新月运动确立的基本原则和日内瓦公约及其附加议定书。七是指导开展全州性红十字会活动。八是参与自治州艾滋病预防宣传的咨询服务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九是协助政府开展各有关工作。十是完成州党委、政府及上级红十字会委托的其他有关事宜。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编制人数9人，其中：参公编制9人。实有在职人数7人，其中：工勤1人、参公6人。离退休人员6人，其中：行政退休人员6人。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安排下达资金20万元，为其他资金，最终确定项目资金总数为20万元。其中：其他资金20万元。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截至2022年12月31日，实际支出20万元，预算执行率100%。</w:t>
      </w:r>
    </w:p>
    <w:p w14:paraId="3E32D5F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499F87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投入总额为20万元，其中其他资金20万元，主要用于帮扶困难群众10人，修建红十字博爱广场1个，开展三救三献宣传培训活动5次，通过该项目的实施，充分发挥红十字会自身优势，统筹推进六项核心业务，积极推进应急救护培训、人道救助、志愿服务、红十字青少年工作，充分发挥党和政府在人道领域的助手和联系群众的桥梁和纽带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“帮扶困难群众（人）”指标，预期指标值为≥10人；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“修建红十字博爱广场（个）”指标，预期指标值为≥1个；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“开展三救三献宣传培训次数（次）”指标，预期指标值为≥5次；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“困难帮扶率（%）”指标，预期指标值为≥95%；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“广场修建验收合格率（%）”指标，预期指标值为≥100%。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“帮付资金拨付及时性（%）”指标，预期指标值为=100%。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“广场修建及时率（%）”指标，预期指标值为≥95%。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“产业帮扶困难群众（万元）”指标，预期指标值为≤10万元；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“慰问困难群众费用”指标，预期指标值为≤10万元；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“提升红十字知晓率”指标，预期指标值为有效提升；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“受助群众满意度（%）”，预期指标值为≥95%。</w:t>
      </w:r>
    </w:p>
    <w:p w14:paraId="66A87E4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02E5528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6AB8BBE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6C3D14C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4AD3725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江苏援疆博爱家园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655EE9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723122B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王冬梅任评价组组长，职务为副局长，绩效评价工作职责为负责全盘工作。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贾玉红、夏梅梅任评价组成员，绩效评价工作职责为负责资料审核等工作。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1179705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4AE68EB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江苏援疆博爱家园项目”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通过该项目的实施，充分发挥红十字会自身优势，统筹推进六项核心业务，积极推进应急救护培训、人道救助、志愿服务、红十字青少年工作，充分发挥党和政府在人道领域的助手和联系群众的桥梁和纽带作用。</w:t>
      </w:r>
    </w:p>
    <w:p w14:paraId="33F247F6">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0595C5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0EDEBDD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中国红十字事业发展规划纲要（2020-2024年）》、并结合克孜勒苏柯尔克孜自治州红十字会职责组织实施。围绕克孜勒苏柯尔克孜自治州红十字会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孜勒苏柯尔克孜自治州红十字会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（5）预算编制科学性：预算编制经经过《中国红十字事业发展规划纲要（2020-2024年）》，实际完成内容与项目内容匹配，项目投资额与工作任务相匹配，根据评分标准，该指标不扣分，得5分。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（6）资金分配合理性：资金分配按照预算编制经经过《中国红十字事业发展规划纲要（2020-2024年）》资金分配与实际相适应，根据评分标准，该指标不扣分，得5分。</w:t>
      </w:r>
    </w:p>
    <w:p w14:paraId="440843A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E36CF5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（1）资金到位率：该项目总投资20万元，江苏省红十字会实际下达经费20万元，财政资金足额拨付到位，根据评分标准，该指标不扣分，得5分。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（2）预算执行率：本项目申请预算金额为20万元，预算批复实际下达金额为20万元，截至 2022年 12 月 31日，资金执行20万元，资金执行率100.00%。项目资金支出总体能够按照预算执行，根据评分标准，该指标不扣分，得5分。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中国红十字事业发展规划纲要（2020-2024年）》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孜勒苏柯尔克孜自治州红十字会财务制度》及《中国红十字事业发展规划纲要（2020-2024年）》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71E037B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9EDC5E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项目产出类指标包括产出数量、产出质量、产出时效、产出成本四方面的内容，由12个三级指标构成，权重分为40分，实际得分40分，得分率为100%。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帮扶困难群众10人，与预期目标一致，根据评分标准，该指标不扣分，得3分。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修建红十字博爱广场1个，与预期目标一致，根据评分标准，该指标不扣分，得3分。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开展三救三献宣传培训次数5次，与预期目标一致，根据评分标准，该指标不扣分，得4分。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困难帮扶率95%，与预期目标一致，根据评分标准，该指标不扣分，得5分。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广场修建验收合格率100%，与预期目标一致，根据评分标准，该指标不扣分，得5分。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帮付资金拨付及时性100%，与预期目标指标一致，根据评分标准，该指标不扣分，得5分。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广场修建及时率100%，与预期目标指标一致，根据评分标准，该指标不扣分，得5分。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产业帮扶困难群众10万元，项目经费能够控制在绩效目标范围内，根据评分标准，该指标不扣分，得5分。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w:t>
      </w:r>
      <w:r>
        <w:rPr>
          <w:rStyle w:val="18"/>
          <w:rFonts w:hint="eastAsia" w:ascii="仿宋" w:hAnsi="仿宋" w:eastAsia="仿宋" w:cs="仿宋"/>
          <w:b w:val="0"/>
          <w:bCs w:val="0"/>
          <w:spacing w:val="-4"/>
          <w:sz w:val="32"/>
          <w:szCs w:val="32"/>
        </w:rPr>
        <w:tab/>
        <w:t>修建广场成本10万元，项目经费能够控制在绩效目标范围内，根据评分标准，该指标不扣分，得5分。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4F85BF0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77EB45B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提升红十字知晓率实际完成值有效提升，与预期指标一致，根据评分标准，该指标不扣分，得10分。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受助群众满意度95%，与预期目标一致，根据评分标准，该指标不扣分，得5分。</w:t>
      </w:r>
    </w:p>
    <w:p w14:paraId="34EA38C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4FE16103">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江苏援疆博爱家园项目项目预算20万元，到位20万元，实际支出20万元，预算执行率为100%，项目绩效指标总体完成率为100%，预算执行进度与绩效指标无偏差。</w:t>
      </w:r>
    </w:p>
    <w:p w14:paraId="27B66D7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472C071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5F77601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6710412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743ED70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4F340B68">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附件1：江苏援疆博爱家园项目绩效评价指标体系及评分标准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22A63B-7065-4901-90A0-4C7862D152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661CEF7-66AD-4FDC-8C16-7EA04AAC47A2}"/>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2BEF9972-CFD4-490F-8CE4-1A905FEEB5CA}"/>
  </w:font>
  <w:font w:name="方正小标宋_GBK">
    <w:panose1 w:val="02000000000000000000"/>
    <w:charset w:val="86"/>
    <w:family w:val="script"/>
    <w:pitch w:val="default"/>
    <w:sig w:usb0="00000001" w:usb1="080E0000" w:usb2="00000000" w:usb3="00000000" w:csb0="00040000" w:csb1="00000000"/>
    <w:embedRegular r:id="rId4" w:fontKey="{B7F7316C-BE29-403B-8AEB-4A587F8E506C}"/>
  </w:font>
  <w:font w:name="仿宋_GB2312">
    <w:panose1 w:val="02010609030101010101"/>
    <w:charset w:val="86"/>
    <w:family w:val="modern"/>
    <w:pitch w:val="default"/>
    <w:sig w:usb0="00000001" w:usb1="080E0000" w:usb2="00000000" w:usb3="00000000" w:csb0="00040000" w:csb1="00000000"/>
    <w:embedRegular r:id="rId5" w:fontKey="{D1BCFEC4-0CFF-42D0-92FB-25BD58F6639E}"/>
  </w:font>
  <w:font w:name="楷体">
    <w:panose1 w:val="02010609060101010101"/>
    <w:charset w:val="86"/>
    <w:family w:val="modern"/>
    <w:pitch w:val="default"/>
    <w:sig w:usb0="800002BF" w:usb1="38CF7CFA" w:usb2="00000016" w:usb3="00000000" w:csb0="00040001" w:csb1="00000000"/>
    <w:embedRegular r:id="rId6" w:fontKey="{D74EFEE5-8A52-408B-9201-0765EAD72F4F}"/>
  </w:font>
  <w:font w:name="方正仿宋_GBK">
    <w:panose1 w:val="02000000000000000000"/>
    <w:charset w:val="86"/>
    <w:family w:val="auto"/>
    <w:pitch w:val="default"/>
    <w:sig w:usb0="A00002BF" w:usb1="38CF7CFA" w:usb2="00082016" w:usb3="00000000" w:csb0="00040001" w:csb1="00000000"/>
    <w:embedRegular r:id="rId7" w:fontKey="{8639E7D0-8F66-4F69-A200-AA5D650494E3}"/>
  </w:font>
  <w:font w:name="仿宋">
    <w:panose1 w:val="02010609060101010101"/>
    <w:charset w:val="86"/>
    <w:family w:val="modern"/>
    <w:pitch w:val="default"/>
    <w:sig w:usb0="800002BF" w:usb1="38CF7CFA" w:usb2="00000016" w:usb3="00000000" w:csb0="00040001" w:csb1="00000000"/>
    <w:embedRegular r:id="rId8" w:fontKey="{A14E9FDF-5483-4330-B8F4-AB41B5F2AF91}"/>
  </w:font>
  <w:font w:name="方正楷体_GBK">
    <w:panose1 w:val="02000000000000000000"/>
    <w:charset w:val="86"/>
    <w:family w:val="auto"/>
    <w:pitch w:val="default"/>
    <w:sig w:usb0="800002BF" w:usb1="38CF7CFA" w:usb2="00000016" w:usb3="00000000" w:csb0="00040000" w:csb1="00000000"/>
    <w:embedRegular r:id="rId9" w:fontKey="{13DB5158-A80A-4014-BED1-71E261EC21B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C735924">
        <w:pPr>
          <w:pStyle w:val="12"/>
          <w:jc w:val="center"/>
        </w:pPr>
        <w:r>
          <w:fldChar w:fldCharType="begin"/>
        </w:r>
        <w:r>
          <w:instrText xml:space="preserve">PAGE   \* MERGEFORMAT</w:instrText>
        </w:r>
        <w:r>
          <w:fldChar w:fldCharType="separate"/>
        </w:r>
        <w:r>
          <w:rPr>
            <w:lang w:val="zh-CN"/>
          </w:rPr>
          <w:t>1</w:t>
        </w:r>
        <w:r>
          <w:fldChar w:fldCharType="end"/>
        </w:r>
      </w:p>
    </w:sdtContent>
  </w:sdt>
  <w:p w14:paraId="72B6E5F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9FB497B"/>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7800</Words>
  <Characters>8067</Characters>
  <Lines>5</Lines>
  <Paragraphs>1</Paragraphs>
  <TotalTime>35</TotalTime>
  <ScaleCrop>false</ScaleCrop>
  <LinksUpToDate>false</LinksUpToDate>
  <CharactersWithSpaces>8384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杨逸飞</cp:lastModifiedBy>
  <cp:lastPrinted>2018-12-31T10:56:00Z</cp:lastPrinted>
  <dcterms:modified xsi:type="dcterms:W3CDTF">2026-07-06T03:24:21Z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eyJoZGlkIjoiM2E0NjM1ZTE0MzlmMDczYmEzZmNiNjliODBlMzM0OWQiLCJ1c2VySWQiOiI0MDE2NDQ5NDAifQ==</vt:lpwstr>
  </property>
  <property fmtid="{D5CDD505-2E9C-101B-9397-08002B2CF9AE}" pid="4" name="ICV">
    <vt:lpwstr>60D8D5B5876B4DB8AFE548C09ABA1E33_12</vt:lpwstr>
  </property>
</Properties>
</file>