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《克孜勒苏柯尔克孜自治州防范和治理拖欠中小企业款项和农民工工资条例》</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政策解读</w:t>
      </w:r>
    </w:p>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方正小标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为切实防范化解</w:t>
      </w:r>
      <w:r>
        <w:rPr>
          <w:rFonts w:hint="default" w:ascii="Times New Roman" w:hAnsi="Times New Roman" w:eastAsia="方正仿宋_GBK" w:cs="Times New Roman"/>
          <w:sz w:val="32"/>
          <w:szCs w:val="32"/>
          <w:lang w:val="en-US" w:eastAsia="zh-CN"/>
        </w:rPr>
        <w:t>中小企业款项</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农民工</w:t>
      </w:r>
      <w:r>
        <w:rPr>
          <w:rFonts w:hint="default" w:ascii="Times New Roman" w:hAnsi="Times New Roman" w:eastAsia="方正仿宋_GBK" w:cs="Times New Roman"/>
          <w:sz w:val="32"/>
          <w:szCs w:val="32"/>
        </w:rPr>
        <w:t>工资拖欠问题，护航市场主体发展、保障劳动者权益，</w:t>
      </w:r>
      <w:r>
        <w:rPr>
          <w:rFonts w:hint="default" w:ascii="Times New Roman" w:hAnsi="Times New Roman" w:eastAsia="方正仿宋_GBK" w:cs="Times New Roman"/>
          <w:sz w:val="32"/>
          <w:szCs w:val="32"/>
          <w:lang w:val="en-US" w:eastAsia="zh-CN"/>
        </w:rPr>
        <w:t>制定了</w:t>
      </w:r>
      <w:r>
        <w:rPr>
          <w:rFonts w:hint="default" w:ascii="Times New Roman" w:hAnsi="Times New Roman" w:eastAsia="方正仿宋_GBK" w:cs="Times New Roman"/>
          <w:sz w:val="32"/>
          <w:szCs w:val="32"/>
        </w:rPr>
        <w:t>《克孜勒苏柯尔克孜自治州防范和治理拖欠中小企业款项和农民工工资条例》（以下简称《条例》）</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本</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条例</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已于2026年4月28日经克孜勒苏柯尔克孜自治州第十五届人大常委会第三十一次会议通过，2026年5月21日获新疆维吾尔自治区第十四届人大常委会第二十九次会议批准，将于2026年7月</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日正式施行。本《条例》立足克州本地实际，整合中小企业款项支付、农民工工资保障两大重点领域监管规则，构建全链条、多层次、可落地的治理体系，现将核心内容、重点条款及实施意义全面解读如下。</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一、立法背景、依据与总体定位</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（一）立法背景</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小企业是地方经济活力的重要载体，农民工工资直接关系民生福祉与社会稳定。账款拖欠、欠薪问题极易引发企业经营困难、劳资矛盾等问题，是优化营商环境、维护基层和谐稳定的重点治理领域。结合国务院《保障中小企业款项支付条例》《保障农民工工资支付条例》等上位法规要求，克州立足区域治理需求，将两项民生、营商领域重点工作统筹立法，填补地方细化监管规则空白，以法治手段建立源头预防、过程监管、事后处置、长效追责的全流程治理机制，从根本上遏制拖欠行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（二）立法依据与适用范围</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法律依据：</w:t>
      </w:r>
      <w:r>
        <w:rPr>
          <w:rFonts w:hint="default" w:ascii="Times New Roman" w:hAnsi="Times New Roman" w:eastAsia="方正仿宋_GBK" w:cs="Times New Roman"/>
          <w:sz w:val="32"/>
          <w:szCs w:val="32"/>
        </w:rPr>
        <w:t>严格依据国家及自治区关于中小企业款项支付、农民工工资支付的法律法规制定，做到上下衔接、依法立法。</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适用范围：</w:t>
      </w:r>
      <w:r>
        <w:rPr>
          <w:rFonts w:hint="default" w:ascii="Times New Roman" w:hAnsi="Times New Roman" w:eastAsia="方正仿宋_GBK" w:cs="Times New Roman"/>
          <w:sz w:val="32"/>
          <w:szCs w:val="32"/>
          <w:lang w:val="en-US" w:eastAsia="zh-CN"/>
        </w:rPr>
        <w:t>克州</w:t>
      </w:r>
      <w:r>
        <w:rPr>
          <w:rFonts w:hint="default" w:ascii="Times New Roman" w:hAnsi="Times New Roman" w:eastAsia="方正仿宋_GBK" w:cs="Times New Roman"/>
          <w:sz w:val="32"/>
          <w:szCs w:val="32"/>
        </w:rPr>
        <w:t>全部行政区域内，所有涉及中小企业款项支付、农民工工资支付及相关监督管理的单位、主体均适用本《条例》，覆盖机关、事业单位、国有企业、各类施工企业、用工单位等全类主体。</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（三）核心工作原则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条例》明确工作坚持党的领导，以铸牢中华民族共同体意识为主线，遵循源头预防、分类处置、协同联动、标本兼治总原则，落实“谁拖欠谁负责、谁用工谁负责、谁主管谁负责”责任机制，突出长效治理、多方共治。</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二、权责划分：构建多级联动、分工明确的监管体系</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《条例》清晰划分政府、乡镇（街道）、各职能部门三级职责，破解部门职责交叉、监管缺位、推诿扯皮等问题，形成全域监管合力。</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w:t>
      </w:r>
      <w:r>
        <w:rPr>
          <w:rFonts w:hint="default" w:ascii="Times New Roman" w:hAnsi="Times New Roman" w:eastAsia="方正仿宋_GBK" w:cs="Times New Roman"/>
          <w:b/>
          <w:bCs/>
          <w:sz w:val="32"/>
          <w:szCs w:val="32"/>
        </w:rPr>
        <w:t>州、县（市）人民政府：</w:t>
      </w:r>
      <w:r>
        <w:rPr>
          <w:rFonts w:hint="default" w:ascii="Times New Roman" w:hAnsi="Times New Roman" w:eastAsia="方正仿宋_GBK" w:cs="Times New Roman"/>
          <w:sz w:val="32"/>
          <w:szCs w:val="32"/>
        </w:rPr>
        <w:t>承担属地主体责任，统筹本区域清欠工作，建立信息共享、提醒督办、监督问责机制，定期研判重大问题，督促部门履职。</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2.</w:t>
      </w:r>
      <w:r>
        <w:rPr>
          <w:rFonts w:hint="default" w:ascii="Times New Roman" w:hAnsi="Times New Roman" w:eastAsia="方正仿宋_GBK" w:cs="Times New Roman"/>
          <w:b/>
          <w:bCs/>
          <w:sz w:val="32"/>
          <w:szCs w:val="32"/>
        </w:rPr>
        <w:t>乡镇人民政府、街道办事处：</w:t>
      </w:r>
      <w:r>
        <w:rPr>
          <w:rFonts w:hint="default" w:ascii="Times New Roman" w:hAnsi="Times New Roman" w:eastAsia="方正仿宋_GBK" w:cs="Times New Roman"/>
          <w:sz w:val="32"/>
          <w:szCs w:val="32"/>
        </w:rPr>
        <w:t>聚焦基层排查，常态化摸排拖欠线索，建立工作台账，第一时间化解基层矛盾纠纷，筑牢治理“第一道防线”。</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lang w:val="en-US" w:eastAsia="zh-CN"/>
        </w:rPr>
        <w:t>3.</w:t>
      </w:r>
      <w:r>
        <w:rPr>
          <w:rFonts w:hint="default" w:ascii="Times New Roman" w:hAnsi="Times New Roman" w:eastAsia="方正仿宋_GBK" w:cs="Times New Roman"/>
          <w:b/>
          <w:bCs/>
          <w:sz w:val="32"/>
          <w:szCs w:val="32"/>
        </w:rPr>
        <w:t>各职能部门核心分工</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工业和信息化部门：</w:t>
      </w:r>
      <w:r>
        <w:rPr>
          <w:rFonts w:hint="default" w:ascii="Times New Roman" w:hAnsi="Times New Roman" w:eastAsia="方正仿宋_GBK" w:cs="Times New Roman"/>
          <w:sz w:val="32"/>
          <w:szCs w:val="32"/>
        </w:rPr>
        <w:t>主抓中小企业款项支付监管，建立账款拖欠风险预警，对拖欠单位开展函询、约谈、通报督办。</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人力资源和社会保障部门：</w:t>
      </w:r>
      <w:r>
        <w:rPr>
          <w:rFonts w:hint="default" w:ascii="Times New Roman" w:hAnsi="Times New Roman" w:eastAsia="方正仿宋_GBK" w:cs="Times New Roman"/>
          <w:sz w:val="32"/>
          <w:szCs w:val="32"/>
        </w:rPr>
        <w:t>牵头农民工工资支付监管，受理欠薪投诉举报，查处欠薪违法行为，搭建工资支付监控预警平台。</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住建、交通、水利等行业主管部门：</w:t>
      </w:r>
      <w:r>
        <w:rPr>
          <w:rFonts w:hint="default" w:ascii="Times New Roman" w:hAnsi="Times New Roman" w:eastAsia="方正仿宋_GBK" w:cs="Times New Roman"/>
          <w:sz w:val="32"/>
          <w:szCs w:val="32"/>
        </w:rPr>
        <w:t>聚焦工程建设领域，管控工程款、工资发放全流程，整治违法发包、转包、挂靠等诱发拖欠的违规行为。</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公安、司法、信访、发改、财政、审计等部门：</w:t>
      </w:r>
      <w:r>
        <w:rPr>
          <w:rFonts w:hint="default" w:ascii="Times New Roman" w:hAnsi="Times New Roman" w:eastAsia="方正仿宋_GBK" w:cs="Times New Roman"/>
          <w:sz w:val="32"/>
          <w:szCs w:val="32"/>
        </w:rPr>
        <w:t>各司其职。公安机关打击恶意欠薪、套取工资资金等违法犯罪；司法行政部门提供法治宣传、法律援助与纠纷调解；信访部门规范诉求流转与督办；</w:t>
      </w:r>
      <w:r>
        <w:rPr>
          <w:rFonts w:hint="eastAsia" w:ascii="Times New Roman" w:hAnsi="Times New Roman" w:eastAsia="方正仿宋_GBK" w:cs="Times New Roman"/>
          <w:sz w:val="32"/>
          <w:szCs w:val="32"/>
          <w:lang w:eastAsia="zh-CN"/>
        </w:rPr>
        <w:t>发改、</w:t>
      </w:r>
      <w:r>
        <w:rPr>
          <w:rFonts w:hint="default" w:ascii="Times New Roman" w:hAnsi="Times New Roman" w:eastAsia="方正仿宋_GBK" w:cs="Times New Roman"/>
          <w:sz w:val="32"/>
          <w:szCs w:val="32"/>
        </w:rPr>
        <w:t>财政、审计等部门强化政府项目</w:t>
      </w:r>
      <w:r>
        <w:rPr>
          <w:rFonts w:hint="eastAsia" w:ascii="Times New Roman" w:hAnsi="Times New Roman" w:eastAsia="方正仿宋_GBK" w:cs="Times New Roman"/>
          <w:sz w:val="32"/>
          <w:szCs w:val="32"/>
          <w:lang w:eastAsia="zh-CN"/>
        </w:rPr>
        <w:t>审批、</w:t>
      </w:r>
      <w:r>
        <w:rPr>
          <w:rFonts w:hint="default" w:ascii="Times New Roman" w:hAnsi="Times New Roman" w:eastAsia="方正仿宋_GBK" w:cs="Times New Roman"/>
          <w:sz w:val="32"/>
          <w:szCs w:val="32"/>
        </w:rPr>
        <w:t>资金监管，全方位配合清欠工作。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三、核心条款解读：分领域划定行为红线与刚性规则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《条例》</w:t>
      </w:r>
      <w:r>
        <w:rPr>
          <w:rFonts w:hint="eastAsia" w:ascii="Times New Roman" w:hAnsi="Times New Roman" w:eastAsia="方正仿宋_GBK" w:cs="Times New Roman"/>
          <w:sz w:val="32"/>
          <w:szCs w:val="32"/>
          <w:lang w:eastAsia="zh-CN"/>
        </w:rPr>
        <w:t>以</w:t>
      </w:r>
      <w:bookmarkStart w:id="0" w:name="_GoBack"/>
      <w:bookmarkEnd w:id="0"/>
      <w:r>
        <w:rPr>
          <w:rFonts w:hint="default" w:ascii="Times New Roman" w:hAnsi="Times New Roman" w:eastAsia="方正仿宋_GBK" w:cs="Times New Roman"/>
          <w:sz w:val="32"/>
          <w:szCs w:val="32"/>
        </w:rPr>
        <w:t>中小企业款项支付、农民工工资支付、工程建设领域专项管控、政府投资项目监管四大板块制定刚性条款，明确支付时限、禁止性行为、清偿责任，直击拖欠痛点。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（一）规范中小企业款项支付：明确付款时限，杜绝变相拖欠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针对机关、事业单位、国有大型企业拖欠中小企业款项的突出问题，《条例》设定硬性付款期限，严禁各类拖延付款行为：</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w:t>
      </w:r>
      <w:r>
        <w:rPr>
          <w:rFonts w:hint="default" w:ascii="Times New Roman" w:hAnsi="Times New Roman" w:eastAsia="方正仿宋_GBK" w:cs="Times New Roman"/>
          <w:b/>
          <w:bCs/>
          <w:sz w:val="32"/>
          <w:szCs w:val="32"/>
        </w:rPr>
        <w:t>机关、事业单位付款要求：</w:t>
      </w:r>
      <w:r>
        <w:rPr>
          <w:rFonts w:hint="default" w:ascii="Times New Roman" w:hAnsi="Times New Roman" w:eastAsia="方正仿宋_GBK" w:cs="Times New Roman"/>
          <w:sz w:val="32"/>
          <w:szCs w:val="32"/>
        </w:rPr>
        <w:t>从中小企业采购货物、工程、服务，交付之日起30日内必须付款；合同另有约定的，付款期限最长不得超过60日。</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2.</w:t>
      </w:r>
      <w:r>
        <w:rPr>
          <w:rFonts w:hint="default" w:ascii="Times New Roman" w:hAnsi="Times New Roman" w:eastAsia="方正仿宋_GBK" w:cs="Times New Roman"/>
          <w:b/>
          <w:bCs/>
          <w:sz w:val="32"/>
          <w:szCs w:val="32"/>
        </w:rPr>
        <w:t>国有等大型企业付款要求：</w:t>
      </w:r>
      <w:r>
        <w:rPr>
          <w:rFonts w:hint="default" w:ascii="Times New Roman" w:hAnsi="Times New Roman" w:eastAsia="方正仿宋_GBK" w:cs="Times New Roman"/>
          <w:sz w:val="32"/>
          <w:szCs w:val="32"/>
        </w:rPr>
        <w:t>采购款项需在交付之日起60日内支付；合同可另行约定期限，但必须符合行业惯例，严禁设置“收到第三方付款再支付中小企业”等“背靠背”付款条款，杜绝连环拖欠。</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3.</w:t>
      </w:r>
      <w:r>
        <w:rPr>
          <w:rFonts w:hint="default" w:ascii="Times New Roman" w:hAnsi="Times New Roman" w:eastAsia="方正仿宋_GBK" w:cs="Times New Roman"/>
          <w:b/>
          <w:bCs/>
          <w:sz w:val="32"/>
          <w:szCs w:val="32"/>
        </w:rPr>
        <w:t>通用禁止规定：</w:t>
      </w:r>
      <w:r>
        <w:rPr>
          <w:rFonts w:hint="default" w:ascii="Times New Roman" w:hAnsi="Times New Roman" w:eastAsia="方正仿宋_GBK" w:cs="Times New Roman"/>
          <w:sz w:val="32"/>
          <w:szCs w:val="32"/>
        </w:rPr>
        <w:t>所有单位不得以内部审计、决算审批等非合同约定事由拖延付款，不得要求中小企业垫资建设；采用进度结算、定期结算的，付款期限自双方确认结算金额当日起计算。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（二）压实农民工工资支付责任：全流程保障足额按时发放</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w:t>
      </w:r>
      <w:r>
        <w:rPr>
          <w:rFonts w:hint="default" w:ascii="Times New Roman" w:hAnsi="Times New Roman" w:eastAsia="方正仿宋_GBK" w:cs="Times New Roman"/>
          <w:b/>
          <w:bCs/>
          <w:sz w:val="32"/>
          <w:szCs w:val="32"/>
        </w:rPr>
        <w:t>基础支付规则：</w:t>
      </w:r>
      <w:r>
        <w:rPr>
          <w:rFonts w:hint="default" w:ascii="Times New Roman" w:hAnsi="Times New Roman" w:eastAsia="方正仿宋_GBK" w:cs="Times New Roman"/>
          <w:sz w:val="32"/>
          <w:szCs w:val="32"/>
        </w:rPr>
        <w:t>用人单位必须按法规及合同约定足额、按时发放工资；双方解除/终止劳动关系时，必须当场一次性付清全部工资。</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2.</w:t>
      </w:r>
      <w:r>
        <w:rPr>
          <w:rFonts w:hint="default" w:ascii="Times New Roman" w:hAnsi="Times New Roman" w:eastAsia="方正仿宋_GBK" w:cs="Times New Roman"/>
          <w:b/>
          <w:bCs/>
          <w:sz w:val="32"/>
          <w:szCs w:val="32"/>
        </w:rPr>
        <w:t>工程建设领域五项硬性制度：</w:t>
      </w:r>
      <w:r>
        <w:rPr>
          <w:rFonts w:hint="default" w:ascii="Times New Roman" w:hAnsi="Times New Roman" w:eastAsia="方正仿宋_GBK" w:cs="Times New Roman"/>
          <w:sz w:val="32"/>
          <w:szCs w:val="32"/>
        </w:rPr>
        <w:t>施工总承包单位必须落实农民工工资保证金、工资专用账户、用工实名制、代发工资、施工现场维权信息公示五大制度，要求施工合同签订后30日内完成保证金缴存、账户开设，并同步录入全州农民工工资支付监控预警平台。</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lang w:val="en-US" w:eastAsia="zh-CN"/>
        </w:rPr>
        <w:t>3.</w:t>
      </w:r>
      <w:r>
        <w:rPr>
          <w:rFonts w:hint="default" w:ascii="Times New Roman" w:hAnsi="Times New Roman" w:eastAsia="方正仿宋_GBK" w:cs="Times New Roman"/>
          <w:b/>
          <w:bCs/>
          <w:sz w:val="32"/>
          <w:szCs w:val="32"/>
        </w:rPr>
        <w:t>层级清偿责任</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总承包单位对农民工工资支付负总责，配备专职劳资管理员，监督分包单位用工及发薪情况。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分包单位对用工、发薪负直接责任，不得以工程款未到位为由拖欠工资；分包欠薪的，由总承包单位先行清偿，再依法追偿。</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因违法发包、转包、挂靠、拖欠工程款引发欠薪，或出借资质允许他人挂靠施工造成欠薪的，由建设单位、总承包单位、出借资质单位直接承担清偿责任。</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（三）严管政府投资项目：从源头遏制资金拖欠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政府投资项目是拖欠款项、工资的高发领域，《条例》设置多重准入与监管门槛，做到“资金不落实，项目不开工”：</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w:t>
      </w:r>
      <w:r>
        <w:rPr>
          <w:rFonts w:hint="default" w:ascii="Times New Roman" w:hAnsi="Times New Roman" w:eastAsia="方正仿宋_GBK" w:cs="Times New Roman"/>
          <w:b/>
          <w:bCs/>
          <w:sz w:val="32"/>
          <w:szCs w:val="32"/>
        </w:rPr>
        <w:t>立项审批管控：</w:t>
      </w:r>
      <w:r>
        <w:rPr>
          <w:rFonts w:hint="default" w:ascii="Times New Roman" w:hAnsi="Times New Roman" w:eastAsia="方正仿宋_GBK" w:cs="Times New Roman"/>
          <w:sz w:val="32"/>
          <w:szCs w:val="32"/>
        </w:rPr>
        <w:t>无明确足额资金来源、资金方案不可行的项目，不予立项；资金未落实的项目，禁止招投标、未批先建、超概算建设。</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2.</w:t>
      </w:r>
      <w:r>
        <w:rPr>
          <w:rFonts w:hint="default" w:ascii="Times New Roman" w:hAnsi="Times New Roman" w:eastAsia="方正仿宋_GBK" w:cs="Times New Roman"/>
          <w:b/>
          <w:bCs/>
          <w:sz w:val="32"/>
          <w:szCs w:val="32"/>
        </w:rPr>
        <w:t>资金拨付监管：</w:t>
      </w:r>
      <w:r>
        <w:rPr>
          <w:rFonts w:hint="default" w:ascii="Times New Roman" w:hAnsi="Times New Roman" w:eastAsia="方正仿宋_GBK" w:cs="Times New Roman"/>
          <w:sz w:val="32"/>
          <w:szCs w:val="32"/>
        </w:rPr>
        <w:t>财政部门将项目资金纳入年度预算，及时足额拨付，严禁截留、挤占、挪用项目资金，不得无故拖延拨款；行业主管部门全程监管资金流向，保障工程款直达施工单位。</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（四）应急兜底机制：破解欠薪突发难题</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建立农民工工资保障应急周转金制度，作为民生兜底保障。当用人单位无力支付工资或欠薪逃匿时，属地政府立即动用周转金先行垫付部分工资或基本生活费，缓解农民工临时生活困难，后续依法向欠薪单位追偿垫付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四、维权渠道与处置流程：畅通诉求，规范办理</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为方便企业、劳动者维权，《条例》整合多类投诉举报渠道，明确办理流程，保障诉求“有处说、有人管、有结果”。</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w:t>
      </w:r>
      <w:r>
        <w:rPr>
          <w:rFonts w:hint="default" w:ascii="Times New Roman" w:hAnsi="Times New Roman" w:eastAsia="方正仿宋_GBK" w:cs="Times New Roman"/>
          <w:b/>
          <w:bCs/>
          <w:sz w:val="32"/>
          <w:szCs w:val="32"/>
        </w:rPr>
        <w:t>多元投诉渠道：</w:t>
      </w:r>
      <w:r>
        <w:rPr>
          <w:rFonts w:hint="default" w:ascii="Times New Roman" w:hAnsi="Times New Roman" w:eastAsia="方正仿宋_GBK" w:cs="Times New Roman"/>
          <w:sz w:val="32"/>
          <w:szCs w:val="32"/>
        </w:rPr>
        <w:t>全面开放违约拖欠中小企业款项投诉平台、劳动保障监察投诉举报专线、12345政务服务便民热线，并向社会公开受理方式、范围和流程。</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2.</w:t>
      </w:r>
      <w:r>
        <w:rPr>
          <w:rFonts w:hint="default" w:ascii="Times New Roman" w:hAnsi="Times New Roman" w:eastAsia="方正仿宋_GBK" w:cs="Times New Roman"/>
          <w:b/>
          <w:bCs/>
          <w:sz w:val="32"/>
          <w:szCs w:val="32"/>
        </w:rPr>
        <w:t>分级处置规则：</w:t>
      </w:r>
      <w:r>
        <w:rPr>
          <w:rFonts w:hint="default" w:ascii="Times New Roman" w:hAnsi="Times New Roman" w:eastAsia="方正仿宋_GBK" w:cs="Times New Roman"/>
          <w:sz w:val="32"/>
          <w:szCs w:val="32"/>
        </w:rPr>
        <w:t>按照属地管理、分级负责、行业主管原则分流投诉举报。对事实清晰的拖欠行为，责令限期整改；存在争议的，组织多方调解；调解无果的，引导当事人通过仲裁、诉讼等司法途径维权。</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3.</w:t>
      </w:r>
      <w:r>
        <w:rPr>
          <w:rFonts w:hint="default" w:ascii="Times New Roman" w:hAnsi="Times New Roman" w:eastAsia="方正仿宋_GBK" w:cs="Times New Roman"/>
          <w:b/>
          <w:bCs/>
          <w:sz w:val="32"/>
          <w:szCs w:val="32"/>
        </w:rPr>
        <w:t>常态化排查督办：</w:t>
      </w:r>
      <w:r>
        <w:rPr>
          <w:rFonts w:hint="default" w:ascii="Times New Roman" w:hAnsi="Times New Roman" w:eastAsia="方正仿宋_GBK" w:cs="Times New Roman"/>
          <w:sz w:val="32"/>
          <w:szCs w:val="32"/>
        </w:rPr>
        <w:t>州、县（市）政府定期开展全覆盖摸排，对排查出的拖欠问题建立管理台账，明确责任、措施、时限，实行动态管理、定期回访、销号处置，确保问题整改到位。</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五、监督问责与惩戒机制：强化刚性约束</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w:t>
      </w:r>
      <w:r>
        <w:rPr>
          <w:rFonts w:hint="default" w:ascii="Times New Roman" w:hAnsi="Times New Roman" w:eastAsia="方正仿宋_GBK" w:cs="Times New Roman"/>
          <w:b/>
          <w:bCs/>
          <w:sz w:val="32"/>
          <w:szCs w:val="32"/>
        </w:rPr>
        <w:t>人大监督：</w:t>
      </w:r>
      <w:r>
        <w:rPr>
          <w:rFonts w:hint="default" w:ascii="Times New Roman" w:hAnsi="Times New Roman" w:eastAsia="方正仿宋_GBK" w:cs="Times New Roman"/>
          <w:sz w:val="32"/>
          <w:szCs w:val="32"/>
        </w:rPr>
        <w:t>州、县（市）人大及其常委会通过听取工作报告、执法检查、专题询问、代表视察等方式，对清欠工作开展常态化监督。</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2.</w:t>
      </w:r>
      <w:r>
        <w:rPr>
          <w:rFonts w:hint="default" w:ascii="Times New Roman" w:hAnsi="Times New Roman" w:eastAsia="方正仿宋_GBK" w:cs="Times New Roman"/>
          <w:b/>
          <w:bCs/>
          <w:sz w:val="32"/>
          <w:szCs w:val="32"/>
        </w:rPr>
        <w:t>追责与联合惩戒：</w:t>
      </w:r>
      <w:r>
        <w:rPr>
          <w:rFonts w:hint="default" w:ascii="Times New Roman" w:hAnsi="Times New Roman" w:eastAsia="方正仿宋_GBK" w:cs="Times New Roman"/>
          <w:sz w:val="32"/>
          <w:szCs w:val="32"/>
        </w:rPr>
        <w:t>政府建立健全追责问责、信用约束、联合惩戒机制。对机关、事业单位、国有大型企业存在的拖欠等违法违规行为，依法依规追责；将严重拖欠主体纳入信用惩戒名单，实施联合约束，大幅提升拖欠行为违法成本。</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六、施行意义与重点提醒</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（一）施行重要意义</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w:t>
      </w:r>
      <w:r>
        <w:rPr>
          <w:rFonts w:hint="default" w:ascii="Times New Roman" w:hAnsi="Times New Roman" w:eastAsia="方正仿宋_GBK" w:cs="Times New Roman"/>
          <w:b/>
          <w:bCs/>
          <w:sz w:val="32"/>
          <w:szCs w:val="32"/>
        </w:rPr>
        <w:t>保障合法权益：</w:t>
      </w:r>
      <w:r>
        <w:rPr>
          <w:rFonts w:hint="default" w:ascii="Times New Roman" w:hAnsi="Times New Roman" w:eastAsia="方正仿宋_GBK" w:cs="Times New Roman"/>
          <w:sz w:val="32"/>
          <w:szCs w:val="32"/>
        </w:rPr>
        <w:t>一方面缓解中小企业资金周转压力，提振市场信心，持续优化克州营商环境；另一方面筑牢农民工工资保障防线，兜牢民生底线，维护社会和谐稳定。</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2.</w:t>
      </w:r>
      <w:r>
        <w:rPr>
          <w:rFonts w:hint="default" w:ascii="Times New Roman" w:hAnsi="Times New Roman" w:eastAsia="方正仿宋_GBK" w:cs="Times New Roman"/>
          <w:b/>
          <w:bCs/>
          <w:sz w:val="32"/>
          <w:szCs w:val="32"/>
        </w:rPr>
        <w:t>规范市场秩序：</w:t>
      </w:r>
      <w:r>
        <w:rPr>
          <w:rFonts w:hint="default" w:ascii="Times New Roman" w:hAnsi="Times New Roman" w:eastAsia="方正仿宋_GBK" w:cs="Times New Roman"/>
          <w:sz w:val="32"/>
          <w:szCs w:val="32"/>
        </w:rPr>
        <w:t>以法治约束机关、企事业单位交易、用工行为，整治垫资、违法发包、转包、恶意拖欠等乱象，营造公平诚信的市场环境。</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3.</w:t>
      </w:r>
      <w:r>
        <w:rPr>
          <w:rFonts w:hint="default" w:ascii="Times New Roman" w:hAnsi="Times New Roman" w:eastAsia="方正仿宋_GBK" w:cs="Times New Roman"/>
          <w:b/>
          <w:bCs/>
          <w:sz w:val="32"/>
          <w:szCs w:val="32"/>
        </w:rPr>
        <w:t>完善地方法治体系：</w:t>
      </w:r>
      <w:r>
        <w:rPr>
          <w:rFonts w:hint="default" w:ascii="Times New Roman" w:hAnsi="Times New Roman" w:eastAsia="方正仿宋_GBK" w:cs="Times New Roman"/>
          <w:sz w:val="32"/>
          <w:szCs w:val="32"/>
        </w:rPr>
        <w:t>结合克州地域特点细化国家法规条款，实现两项重点工作一体化监管，构建“预防+监管+处置+追责”的长效治理模式。</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（二）重点施行提醒</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w:t>
      </w:r>
      <w:r>
        <w:rPr>
          <w:rFonts w:hint="default" w:ascii="Times New Roman" w:hAnsi="Times New Roman" w:eastAsia="方正仿宋_GBK" w:cs="Times New Roman"/>
          <w:b/>
          <w:bCs/>
          <w:sz w:val="32"/>
          <w:szCs w:val="32"/>
        </w:rPr>
        <w:t>施行时间：</w:t>
      </w:r>
      <w:r>
        <w:rPr>
          <w:rFonts w:hint="default" w:ascii="Times New Roman" w:hAnsi="Times New Roman" w:eastAsia="方正仿宋_GBK" w:cs="Times New Roman"/>
          <w:sz w:val="32"/>
          <w:szCs w:val="32"/>
        </w:rPr>
        <w:t>本《条例》自2026年7月1日起正式施行，辖区内所有相关主体需提前对照条款自查整改，规范款项支付、工资发放行为。</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2.</w:t>
      </w:r>
      <w:r>
        <w:rPr>
          <w:rFonts w:hint="default" w:ascii="Times New Roman" w:hAnsi="Times New Roman" w:eastAsia="方正仿宋_GBK" w:cs="Times New Roman"/>
          <w:b/>
          <w:bCs/>
          <w:sz w:val="32"/>
          <w:szCs w:val="32"/>
        </w:rPr>
        <w:t>主体合规要求：</w:t>
      </w:r>
      <w:r>
        <w:rPr>
          <w:rFonts w:hint="default" w:ascii="Times New Roman" w:hAnsi="Times New Roman" w:eastAsia="方正仿宋_GBK" w:cs="Times New Roman"/>
          <w:sz w:val="32"/>
          <w:szCs w:val="32"/>
        </w:rPr>
        <w:t>机关、事业单位、国企需严格遵守付款时限；工程建设企业务必落实工资专户、保证金、实名制等制度，厘清清偿责任；中小企业、农民工可熟练运用官方投诉渠道依法维权。</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3.</w:t>
      </w:r>
      <w:r>
        <w:rPr>
          <w:rFonts w:hint="default" w:ascii="Times New Roman" w:hAnsi="Times New Roman" w:eastAsia="方正仿宋_GBK" w:cs="Times New Roman"/>
          <w:b/>
          <w:bCs/>
          <w:sz w:val="32"/>
          <w:szCs w:val="32"/>
        </w:rPr>
        <w:t>责任红线：</w:t>
      </w:r>
      <w:r>
        <w:rPr>
          <w:rFonts w:hint="default" w:ascii="Times New Roman" w:hAnsi="Times New Roman" w:eastAsia="方正仿宋_GBK" w:cs="Times New Roman"/>
          <w:sz w:val="32"/>
          <w:szCs w:val="32"/>
        </w:rPr>
        <w:t>恶意拖欠款项、欠薪逃匿、套取工资账户资金、拒不支付劳动报酬等行为，将面临行政处罚、信用惩戒，涉嫌犯罪的，依法追究刑事责任。</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综上，《条例》是克州运用法治手段治理拖欠问题的重要举措，兼顾营商环境优化与民生保障，通过明确规则、压实责任、畅通维权、强化惩戒，推动防范和治理拖欠工作常态化、规范化、法治化，为克州经济社会高质量发展提供坚实法治保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七、政策解读主体及责任人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（一）政策解读主体</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克州发展和改革委员会</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（二）政策解读责任人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eastAsia="zh-CN"/>
        </w:rPr>
        <w:t>第一责任人：努尔夏提</w:t>
      </w:r>
      <w:r>
        <w:rPr>
          <w:rFonts w:hint="eastAsia" w:ascii="Times New Roman" w:hAnsi="Times New Roman" w:eastAsia="方正仿宋_GBK" w:cs="Times New Roman"/>
          <w:sz w:val="32"/>
          <w:szCs w:val="32"/>
          <w:lang w:val="en-US" w:eastAsia="zh-CN"/>
        </w:rPr>
        <w:t>·铁来西（克州发展和改革委员会党组副书记、主任）</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日常解读：</w:t>
      </w:r>
      <w:r>
        <w:rPr>
          <w:rFonts w:hint="eastAsia" w:ascii="Times New Roman" w:hAnsi="Times New Roman" w:eastAsia="方正仿宋_GBK" w:cs="Times New Roman"/>
          <w:sz w:val="32"/>
          <w:szCs w:val="32"/>
          <w:lang w:val="en-US" w:eastAsia="zh-CN"/>
        </w:rPr>
        <w:t>克州发展和改革委员会能源科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eastAsia="zh-CN"/>
        </w:rPr>
        <w:t>联系电话：</w:t>
      </w:r>
      <w:r>
        <w:rPr>
          <w:rFonts w:hint="eastAsia" w:ascii="Times New Roman" w:hAnsi="Times New Roman" w:eastAsia="方正仿宋_GBK" w:cs="Times New Roman"/>
          <w:sz w:val="32"/>
          <w:szCs w:val="32"/>
          <w:lang w:val="en-US" w:eastAsia="zh-CN"/>
        </w:rPr>
        <w:t>0908-4239539</w:t>
      </w:r>
    </w:p>
    <w:p>
      <w:pPr>
        <w:keepNext w:val="0"/>
        <w:keepLines w:val="0"/>
        <w:pageBreakBefore w:val="0"/>
        <w:widowControl w:val="0"/>
        <w:kinsoku/>
        <w:wordWrap w:val="0"/>
        <w:overflowPunct/>
        <w:topLinePunct w:val="0"/>
        <w:autoSpaceDE/>
        <w:autoSpaceDN/>
        <w:bidi w:val="0"/>
        <w:adjustRightInd/>
        <w:snapToGrid/>
        <w:spacing w:line="578" w:lineRule="exact"/>
        <w:ind w:firstLine="640" w:firstLineChars="200"/>
        <w:jc w:val="right"/>
        <w:textAlignment w:val="auto"/>
        <w:rPr>
          <w:rFonts w:hint="default" w:ascii="Times New Roman" w:hAnsi="Times New Roman" w:eastAsia="方正仿宋_GBK" w:cs="Times New Roman"/>
          <w:sz w:val="32"/>
          <w:szCs w:val="32"/>
          <w:lang w:val="en-US" w:eastAsia="zh-CN"/>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2"/>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07852"/>
    <w:rsid w:val="175E22A7"/>
    <w:rsid w:val="1BFFE34C"/>
    <w:rsid w:val="1C7F003D"/>
    <w:rsid w:val="2EFF3952"/>
    <w:rsid w:val="4F63FBDC"/>
    <w:rsid w:val="5BFF5106"/>
    <w:rsid w:val="64D4770D"/>
    <w:rsid w:val="6C331DDD"/>
    <w:rsid w:val="7FDB4D77"/>
    <w:rsid w:val="FABF9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Office_11.8.2.12129_F1E327BC-269C-435d-A152-05C5408002CA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2026-06-13T11:38:00Z</dcterms:created>
  <dc:creator>13153</dc:creator>
  <cp:lastModifiedBy>pjw</cp:lastModifiedBy>
  <cp:lastPrinted>2026-06-17T17:31:30Z</cp:lastPrinted>
  <dcterms:modified xsi:type="dcterms:W3CDTF">2026-06-17T17:31:33Z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2052-11.8.2.12129</vt:lpwstr>
  </property>
  <property fmtid="{D5CDD505-2E9C-101B-9397-08002B2CF9AE}" pid="3" name="KSOTemplateDocerSaveRecord">
    <vt:lpwstr>eyJoZGlkIjoiNmE4YWE2NWM2NjkyMzUxOGRkNDNkNjJlMmYxYjJlZDkiLCJ1c2VySWQiOiI2MjIzMjQ0NTIifQ==</vt:lpwstr>
  </property>
  <property fmtid="{D5CDD505-2E9C-101B-9397-08002B2CF9AE}" pid="4" name="ICV">
    <vt:lpwstr>AB4AC4221B4A462BAC1B538F54A0A878_12</vt:lpwstr>
  </property>
</Properties>
</file>