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outlineLvl w:val="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color w:val="auto"/>
          <w:sz w:val="44"/>
          <w:szCs w:val="44"/>
          <w:highlight w:val="none"/>
        </w:rPr>
      </w:pPr>
      <w:bookmarkStart w:id="0" w:name="_GoBack"/>
      <w:r>
        <w:rPr>
          <w:rFonts w:hint="eastAsia" w:ascii="方正小标宋_GBK" w:hAnsi="方正小标宋_GBK" w:eastAsia="方正小标宋_GBK" w:cs="方正小标宋_GBK"/>
          <w:color w:val="auto"/>
          <w:sz w:val="44"/>
          <w:szCs w:val="44"/>
          <w:highlight w:val="none"/>
          <w:shd w:val="clear" w:color="auto" w:fill="auto"/>
        </w:rPr>
        <w:t>医保付费“一件事”</w:t>
      </w:r>
      <w:r>
        <w:rPr>
          <w:rFonts w:hint="eastAsia" w:ascii="方正小标宋_GBK" w:hAnsi="方正小标宋_GBK" w:eastAsia="方正小标宋_GBK" w:cs="方正小标宋_GBK"/>
          <w:color w:val="auto"/>
          <w:sz w:val="44"/>
          <w:szCs w:val="44"/>
          <w:highlight w:val="none"/>
        </w:rPr>
        <w:t>法定依据</w:t>
      </w:r>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908"/>
        <w:gridCol w:w="1845"/>
        <w:gridCol w:w="177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659"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908"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法律法规</w:t>
            </w:r>
          </w:p>
        </w:tc>
        <w:tc>
          <w:tcPr>
            <w:tcW w:w="1845"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颁布时间</w:t>
            </w:r>
          </w:p>
        </w:tc>
        <w:tc>
          <w:tcPr>
            <w:tcW w:w="1772"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所属类目</w:t>
            </w:r>
          </w:p>
        </w:tc>
        <w:tc>
          <w:tcPr>
            <w:tcW w:w="6936"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blHeader/>
          <w:jc w:val="center"/>
        </w:trPr>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1</w:t>
            </w:r>
          </w:p>
        </w:tc>
        <w:tc>
          <w:tcPr>
            <w:tcW w:w="2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i w:val="0"/>
                <w:iCs w:val="0"/>
                <w:caps w:val="0"/>
                <w:color w:val="auto"/>
                <w:spacing w:val="0"/>
                <w:sz w:val="21"/>
                <w:szCs w:val="21"/>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21"/>
                <w:szCs w:val="21"/>
                <w:shd w:val="clear" w:color="auto" w:fill="FFFFFF"/>
              </w:rPr>
              <w:t>国家医疗保障局关于优化医保领域便民服务的意见</w:t>
            </w:r>
            <w:r>
              <w:rPr>
                <w:rFonts w:hint="default" w:ascii="Times New Roman" w:hAnsi="Times New Roman" w:eastAsia="方正仿宋_GBK" w:cs="Times New Roman"/>
                <w:b w:val="0"/>
                <w:bCs w:val="0"/>
                <w:i w:val="0"/>
                <w:iCs w:val="0"/>
                <w:caps w:val="0"/>
                <w:color w:val="auto"/>
                <w:spacing w:val="0"/>
                <w:sz w:val="21"/>
                <w:szCs w:val="21"/>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21"/>
                <w:szCs w:val="21"/>
                <w:shd w:val="clear" w:color="auto" w:fill="FFFFFF"/>
              </w:rPr>
              <w:t>医保发〔2021〕39号</w:t>
            </w:r>
            <w:r>
              <w:rPr>
                <w:rFonts w:hint="default" w:ascii="Times New Roman" w:hAnsi="Times New Roman" w:eastAsia="方正仿宋_GBK" w:cs="Times New Roman"/>
                <w:b w:val="0"/>
                <w:bCs w:val="0"/>
                <w:i w:val="0"/>
                <w:iCs w:val="0"/>
                <w:caps w:val="0"/>
                <w:color w:val="auto"/>
                <w:spacing w:val="0"/>
                <w:sz w:val="21"/>
                <w:szCs w:val="21"/>
                <w:shd w:val="clear" w:color="auto" w:fill="FFFFFF"/>
                <w:lang w:eastAsia="zh-CN"/>
              </w:rPr>
              <w:t>）</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val="0"/>
                <w:bCs w:val="0"/>
                <w:color w:val="auto"/>
                <w:sz w:val="21"/>
                <w:szCs w:val="21"/>
                <w:highlight w:val="none"/>
                <w:lang w:val="en-US" w:eastAsia="zh-CN"/>
              </w:rPr>
              <w:t>2021/7/16</w:t>
            </w:r>
          </w:p>
        </w:tc>
        <w:tc>
          <w:tcPr>
            <w:tcW w:w="17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sz w:val="21"/>
                <w:szCs w:val="21"/>
                <w:highlight w:val="none"/>
                <w:lang w:eastAsia="zh-Hans"/>
              </w:rPr>
            </w:pPr>
            <w:r>
              <w:rPr>
                <w:rStyle w:val="7"/>
                <w:rFonts w:hint="default" w:ascii="Times New Roman" w:hAnsi="Times New Roman" w:eastAsia="方正仿宋_GBK" w:cs="Times New Roman"/>
                <w:b w:val="0"/>
                <w:bCs w:val="0"/>
                <w:i w:val="0"/>
                <w:iCs w:val="0"/>
                <w:caps w:val="0"/>
                <w:color w:val="auto"/>
                <w:spacing w:val="0"/>
                <w:sz w:val="21"/>
                <w:szCs w:val="21"/>
                <w:shd w:val="clear" w:color="auto" w:fill="FFFFFF"/>
              </w:rPr>
              <w:t>政策文件</w:t>
            </w:r>
          </w:p>
        </w:tc>
        <w:tc>
          <w:tcPr>
            <w:tcW w:w="69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i w:val="0"/>
                <w:iCs w:val="0"/>
                <w:caps w:val="0"/>
                <w:color w:val="auto"/>
                <w:spacing w:val="0"/>
                <w:sz w:val="21"/>
                <w:szCs w:val="21"/>
                <w:shd w:val="clear" w:color="auto" w:fill="FFFFFF"/>
              </w:rPr>
              <w:t>鼓励有条件的地方推广运用人脸识别技术，实现参保人“刷脸”就医住院，杜绝“假病人”；医师“刷脸+定位”双重认证，杜绝“假医生”。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2</w:t>
            </w:r>
          </w:p>
        </w:tc>
        <w:tc>
          <w:tcPr>
            <w:tcW w:w="2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auto"/>
                <w:kern w:val="0"/>
                <w:sz w:val="21"/>
                <w:szCs w:val="21"/>
                <w:highlight w:val="yellow"/>
                <w:u w:val="none"/>
                <w:lang w:val="en-US" w:eastAsia="zh-CN" w:bidi="ar"/>
              </w:rPr>
            </w:pPr>
            <w:r>
              <w:rPr>
                <w:rFonts w:hint="default" w:ascii="Times New Roman" w:hAnsi="Times New Roman" w:eastAsia="方正仿宋_GBK" w:cs="Times New Roman"/>
                <w:b w:val="0"/>
                <w:bCs w:val="0"/>
                <w:i w:val="0"/>
                <w:iCs w:val="0"/>
                <w:caps w:val="0"/>
                <w:color w:val="auto"/>
                <w:spacing w:val="0"/>
                <w:sz w:val="21"/>
                <w:szCs w:val="21"/>
                <w:shd w:val="clear" w:color="auto" w:fill="FFFFFF"/>
              </w:rPr>
              <w:t>《国务院办公厅关于建立健全职工基本医疗保险门诊共济保障机制的指导意见》</w:t>
            </w:r>
            <w:r>
              <w:rPr>
                <w:rFonts w:hint="default" w:ascii="Times New Roman" w:hAnsi="Times New Roman" w:eastAsia="方正仿宋_GBK" w:cs="Times New Roman"/>
                <w:b w:val="0"/>
                <w:bCs w:val="0"/>
                <w:i w:val="0"/>
                <w:iCs w:val="0"/>
                <w:caps w:val="0"/>
                <w:color w:val="auto"/>
                <w:spacing w:val="0"/>
                <w:sz w:val="21"/>
                <w:szCs w:val="21"/>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21"/>
                <w:szCs w:val="21"/>
                <w:shd w:val="clear" w:color="auto" w:fill="FFFFFF"/>
              </w:rPr>
              <w:t>国办发〔2021〕14号</w:t>
            </w:r>
            <w:r>
              <w:rPr>
                <w:rFonts w:hint="default" w:ascii="Times New Roman" w:hAnsi="Times New Roman" w:eastAsia="方正仿宋_GBK" w:cs="Times New Roman"/>
                <w:b w:val="0"/>
                <w:bCs w:val="0"/>
                <w:i w:val="0"/>
                <w:iCs w:val="0"/>
                <w:caps w:val="0"/>
                <w:color w:val="auto"/>
                <w:spacing w:val="0"/>
                <w:sz w:val="21"/>
                <w:szCs w:val="21"/>
                <w:shd w:val="clear" w:color="auto" w:fill="FFFFFF"/>
                <w:lang w:eastAsia="zh-CN"/>
              </w:rPr>
              <w:t>）</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kern w:val="2"/>
                <w:sz w:val="21"/>
                <w:szCs w:val="21"/>
                <w:highlight w:val="none"/>
                <w:lang w:val="en-US" w:eastAsia="zh-Hans" w:bidi="ar-SA"/>
              </w:rPr>
            </w:pPr>
            <w:r>
              <w:rPr>
                <w:rFonts w:hint="default" w:ascii="Times New Roman" w:hAnsi="Times New Roman" w:eastAsia="方正仿宋_GBK" w:cs="Times New Roman"/>
                <w:b w:val="0"/>
                <w:bCs w:val="0"/>
                <w:color w:val="auto"/>
                <w:kern w:val="2"/>
                <w:sz w:val="21"/>
                <w:szCs w:val="21"/>
                <w:highlight w:val="none"/>
                <w:lang w:val="en-US" w:eastAsia="zh-Hans" w:bidi="ar-SA"/>
              </w:rPr>
              <w:t>2021</w:t>
            </w:r>
            <w:r>
              <w:rPr>
                <w:rFonts w:hint="default" w:ascii="Times New Roman" w:hAnsi="Times New Roman" w:eastAsia="方正仿宋_GBK" w:cs="Times New Roman"/>
                <w:b w:val="0"/>
                <w:bCs w:val="0"/>
                <w:color w:val="auto"/>
                <w:kern w:val="2"/>
                <w:sz w:val="21"/>
                <w:szCs w:val="21"/>
                <w:highlight w:val="none"/>
                <w:lang w:val="en-US" w:eastAsia="zh-CN" w:bidi="ar-SA"/>
              </w:rPr>
              <w:t>/</w:t>
            </w:r>
            <w:r>
              <w:rPr>
                <w:rFonts w:hint="default" w:ascii="Times New Roman" w:hAnsi="Times New Roman" w:eastAsia="方正仿宋_GBK" w:cs="Times New Roman"/>
                <w:b w:val="0"/>
                <w:bCs w:val="0"/>
                <w:color w:val="auto"/>
                <w:kern w:val="2"/>
                <w:sz w:val="21"/>
                <w:szCs w:val="21"/>
                <w:highlight w:val="none"/>
                <w:lang w:val="en-US" w:eastAsia="zh-Hans" w:bidi="ar-SA"/>
              </w:rPr>
              <w:t>4</w:t>
            </w:r>
            <w:r>
              <w:rPr>
                <w:rFonts w:hint="default" w:ascii="Times New Roman" w:hAnsi="Times New Roman" w:eastAsia="方正仿宋_GBK" w:cs="Times New Roman"/>
                <w:b w:val="0"/>
                <w:bCs w:val="0"/>
                <w:color w:val="auto"/>
                <w:kern w:val="2"/>
                <w:sz w:val="21"/>
                <w:szCs w:val="21"/>
                <w:highlight w:val="none"/>
                <w:lang w:val="en-US" w:eastAsia="zh-CN" w:bidi="ar-SA"/>
              </w:rPr>
              <w:t>/</w:t>
            </w:r>
            <w:r>
              <w:rPr>
                <w:rFonts w:hint="default" w:ascii="Times New Roman" w:hAnsi="Times New Roman" w:eastAsia="方正仿宋_GBK" w:cs="Times New Roman"/>
                <w:b w:val="0"/>
                <w:bCs w:val="0"/>
                <w:color w:val="auto"/>
                <w:kern w:val="2"/>
                <w:sz w:val="21"/>
                <w:szCs w:val="21"/>
                <w:highlight w:val="none"/>
                <w:lang w:val="en-US" w:eastAsia="zh-Hans" w:bidi="ar-SA"/>
              </w:rPr>
              <w:t>22</w:t>
            </w:r>
          </w:p>
        </w:tc>
        <w:tc>
          <w:tcPr>
            <w:tcW w:w="17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kern w:val="2"/>
                <w:sz w:val="21"/>
                <w:szCs w:val="21"/>
                <w:highlight w:val="none"/>
                <w:lang w:val="en-US" w:eastAsia="zh-Hans" w:bidi="ar-SA"/>
              </w:rPr>
            </w:pPr>
            <w:r>
              <w:rPr>
                <w:rStyle w:val="7"/>
                <w:rFonts w:hint="default" w:ascii="Times New Roman" w:hAnsi="Times New Roman" w:eastAsia="方正仿宋_GBK" w:cs="Times New Roman"/>
                <w:b w:val="0"/>
                <w:bCs w:val="0"/>
                <w:i w:val="0"/>
                <w:iCs w:val="0"/>
                <w:caps w:val="0"/>
                <w:color w:val="auto"/>
                <w:spacing w:val="0"/>
                <w:sz w:val="21"/>
                <w:szCs w:val="21"/>
                <w:shd w:val="clear" w:color="auto" w:fill="FFFFFF"/>
              </w:rPr>
              <w:t>政策文件</w:t>
            </w:r>
          </w:p>
        </w:tc>
        <w:tc>
          <w:tcPr>
            <w:tcW w:w="69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b w:val="0"/>
                <w:bCs w:val="0"/>
                <w:i w:val="0"/>
                <w:iCs w:val="0"/>
                <w:caps w:val="0"/>
                <w:color w:val="auto"/>
                <w:spacing w:val="0"/>
                <w:sz w:val="21"/>
                <w:szCs w:val="21"/>
                <w:shd w:val="clear" w:color="auto" w:fill="FFFFFF"/>
              </w:rPr>
              <w:t>规范个人账户使用范围。个人账户主要用于支付参保人员在医保政策范围内自付费用。可以用于支付参保人员本人及其配偶、父母、子女在定点医疗机构就医发生的由个人负担的医疗费用，以及在定点零售药店购买药品、医疗器械、医用耗材发生的由个人负担的费用。探索个人账户用于配偶、父母、子女参加城乡居民医保等的个人缴费。依法规范不属于医保保障范围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blHeader/>
          <w:jc w:val="center"/>
        </w:trPr>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3</w:t>
            </w:r>
          </w:p>
        </w:tc>
        <w:tc>
          <w:tcPr>
            <w:tcW w:w="2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aps w:val="0"/>
                <w:color w:val="auto"/>
                <w:spacing w:val="0"/>
                <w:sz w:val="21"/>
                <w:szCs w:val="21"/>
                <w:shd w:val="clear" w:color="auto" w:fill="FFFFFF"/>
              </w:rPr>
            </w:pPr>
            <w:r>
              <w:rPr>
                <w:rFonts w:hint="eastAsia" w:ascii="Times New Roman" w:hAnsi="Times New Roman" w:eastAsia="方正仿宋_GBK" w:cs="Times New Roman"/>
                <w:b w:val="0"/>
                <w:bCs w:val="0"/>
                <w:i w:val="0"/>
                <w:iCs w:val="0"/>
                <w:caps w:val="0"/>
                <w:color w:val="auto"/>
                <w:spacing w:val="0"/>
                <w:sz w:val="21"/>
                <w:szCs w:val="21"/>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21"/>
                <w:szCs w:val="21"/>
                <w:shd w:val="clear" w:color="auto" w:fill="FFFFFF"/>
              </w:rPr>
              <w:t>医疗保障信息平台医保码一码付建设方案</w:t>
            </w:r>
            <w:r>
              <w:rPr>
                <w:rFonts w:hint="eastAsia" w:ascii="Times New Roman" w:hAnsi="Times New Roman" w:eastAsia="方正仿宋_GBK" w:cs="Times New Roman"/>
                <w:b w:val="0"/>
                <w:bCs w:val="0"/>
                <w:i w:val="0"/>
                <w:iCs w:val="0"/>
                <w:caps w:val="0"/>
                <w:color w:val="auto"/>
                <w:spacing w:val="0"/>
                <w:sz w:val="21"/>
                <w:szCs w:val="21"/>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21"/>
                <w:szCs w:val="21"/>
                <w:shd w:val="clear" w:color="auto" w:fill="FFFFFF"/>
              </w:rPr>
              <w:t xml:space="preserve">的通知（网信办〔2024〕5号） </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b w:val="0"/>
                <w:bCs w:val="0"/>
                <w:color w:val="auto"/>
                <w:kern w:val="2"/>
                <w:sz w:val="21"/>
                <w:szCs w:val="21"/>
                <w:highlight w:val="none"/>
                <w:lang w:val="en-US" w:eastAsia="zh-Hans" w:bidi="ar-SA"/>
              </w:rPr>
              <w:t>202</w:t>
            </w:r>
            <w:r>
              <w:rPr>
                <w:rFonts w:hint="default" w:ascii="Times New Roman" w:hAnsi="Times New Roman" w:eastAsia="方正仿宋_GBK" w:cs="Times New Roman"/>
                <w:b w:val="0"/>
                <w:bCs w:val="0"/>
                <w:color w:val="auto"/>
                <w:kern w:val="2"/>
                <w:sz w:val="21"/>
                <w:szCs w:val="21"/>
                <w:highlight w:val="none"/>
                <w:lang w:val="en-US" w:eastAsia="zh-CN" w:bidi="ar-SA"/>
              </w:rPr>
              <w:t>4/6/11</w:t>
            </w:r>
          </w:p>
        </w:tc>
        <w:tc>
          <w:tcPr>
            <w:tcW w:w="17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aps w:val="0"/>
                <w:color w:val="auto"/>
                <w:spacing w:val="0"/>
                <w:sz w:val="21"/>
                <w:szCs w:val="21"/>
                <w:shd w:val="clear" w:color="auto" w:fill="FFFFFF"/>
              </w:rPr>
            </w:pPr>
            <w:r>
              <w:rPr>
                <w:rStyle w:val="7"/>
                <w:rFonts w:hint="default" w:ascii="Times New Roman" w:hAnsi="Times New Roman" w:eastAsia="方正仿宋_GBK" w:cs="Times New Roman"/>
                <w:b w:val="0"/>
                <w:bCs w:val="0"/>
                <w:i w:val="0"/>
                <w:iCs w:val="0"/>
                <w:caps w:val="0"/>
                <w:color w:val="auto"/>
                <w:spacing w:val="0"/>
                <w:sz w:val="21"/>
                <w:szCs w:val="21"/>
                <w:shd w:val="clear" w:color="auto" w:fill="FFFFFF"/>
              </w:rPr>
              <w:t>政策文件</w:t>
            </w:r>
          </w:p>
        </w:tc>
        <w:tc>
          <w:tcPr>
            <w:tcW w:w="69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aps w:val="0"/>
                <w:color w:val="auto"/>
                <w:spacing w:val="0"/>
                <w:sz w:val="21"/>
                <w:szCs w:val="21"/>
                <w:shd w:val="clear" w:color="auto" w:fill="FFFFFF"/>
              </w:rPr>
            </w:pPr>
            <w:r>
              <w:rPr>
                <w:rFonts w:hint="default" w:ascii="Times New Roman" w:hAnsi="Times New Roman" w:eastAsia="方正仿宋_GBK" w:cs="Times New Roman"/>
                <w:b w:val="0"/>
                <w:bCs w:val="0"/>
                <w:i w:val="0"/>
                <w:iCs w:val="0"/>
                <w:caps w:val="0"/>
                <w:color w:val="auto"/>
                <w:spacing w:val="0"/>
                <w:sz w:val="21"/>
                <w:szCs w:val="21"/>
                <w:shd w:val="clear" w:color="auto" w:fill="FFFFFF"/>
              </w:rPr>
              <w:t>依托全国统一的医保信息平台医保码身份核验能力，参保人在线下支付看病买药费用时，仅需一次医保码展码即可同时完成医保结算及个人现金缴纳的费用支付功能。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blHeader/>
          <w:jc w:val="center"/>
        </w:trPr>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pPr>
            <w:r>
              <w:rPr>
                <w:rFonts w:hint="default" w:ascii="Times New Roman" w:hAnsi="Times New Roman" w:eastAsia="方正仿宋_GBK" w:cs="Times New Roman"/>
                <w:b w:val="0"/>
                <w:bCs w:val="0"/>
                <w:i w:val="0"/>
                <w:iCs w:val="0"/>
                <w:color w:val="auto"/>
                <w:kern w:val="0"/>
                <w:sz w:val="21"/>
                <w:szCs w:val="21"/>
                <w:highlight w:val="none"/>
                <w:u w:val="none"/>
                <w:lang w:val="en-US" w:eastAsia="zh-CN" w:bidi="ar"/>
              </w:rPr>
              <w:t>4</w:t>
            </w:r>
          </w:p>
        </w:tc>
        <w:tc>
          <w:tcPr>
            <w:tcW w:w="29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aps w:val="0"/>
                <w:color w:val="auto"/>
                <w:spacing w:val="0"/>
                <w:sz w:val="21"/>
                <w:szCs w:val="21"/>
                <w:shd w:val="clear" w:color="auto" w:fill="FFFFFF"/>
              </w:rPr>
            </w:pPr>
            <w:r>
              <w:rPr>
                <w:rFonts w:hint="default" w:ascii="Times New Roman" w:hAnsi="Times New Roman" w:eastAsia="方正仿宋_GBK" w:cs="Times New Roman"/>
                <w:b w:val="0"/>
                <w:bCs w:val="0"/>
                <w:i w:val="0"/>
                <w:iCs w:val="0"/>
                <w:caps w:val="0"/>
                <w:color w:val="auto"/>
                <w:spacing w:val="0"/>
                <w:sz w:val="21"/>
                <w:szCs w:val="21"/>
                <w:shd w:val="clear" w:color="auto" w:fill="FFFFFF"/>
              </w:rPr>
              <w:t>《关于坚持传统服务方式与智能化服务创新并行优化医疗保障服务工作的实施意见》（医保发〔2020〕54 号</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b w:val="0"/>
                <w:bCs w:val="0"/>
                <w:color w:val="auto"/>
                <w:kern w:val="2"/>
                <w:sz w:val="21"/>
                <w:szCs w:val="21"/>
                <w:highlight w:val="none"/>
                <w:lang w:val="en-US" w:eastAsia="zh-Hans" w:bidi="ar-SA"/>
              </w:rPr>
              <w:t>202</w:t>
            </w:r>
            <w:r>
              <w:rPr>
                <w:rFonts w:hint="default" w:ascii="Times New Roman" w:hAnsi="Times New Roman" w:eastAsia="方正仿宋_GBK" w:cs="Times New Roman"/>
                <w:b w:val="0"/>
                <w:bCs w:val="0"/>
                <w:color w:val="auto"/>
                <w:kern w:val="2"/>
                <w:sz w:val="21"/>
                <w:szCs w:val="21"/>
                <w:highlight w:val="none"/>
                <w:lang w:val="en-US" w:eastAsia="zh-CN" w:bidi="ar-SA"/>
              </w:rPr>
              <w:t>0/12/</w:t>
            </w:r>
            <w:r>
              <w:rPr>
                <w:rFonts w:hint="default" w:ascii="Times New Roman" w:hAnsi="Times New Roman" w:eastAsia="方正仿宋_GBK" w:cs="Times New Roman"/>
                <w:b w:val="0"/>
                <w:bCs w:val="0"/>
                <w:color w:val="auto"/>
                <w:kern w:val="2"/>
                <w:sz w:val="21"/>
                <w:szCs w:val="21"/>
                <w:highlight w:val="none"/>
                <w:lang w:val="en-US" w:eastAsia="zh-Hans" w:bidi="ar-SA"/>
              </w:rPr>
              <w:t>2</w:t>
            </w:r>
            <w:r>
              <w:rPr>
                <w:rFonts w:hint="default" w:ascii="Times New Roman" w:hAnsi="Times New Roman" w:eastAsia="方正仿宋_GBK" w:cs="Times New Roman"/>
                <w:b w:val="0"/>
                <w:bCs w:val="0"/>
                <w:color w:val="auto"/>
                <w:kern w:val="2"/>
                <w:sz w:val="21"/>
                <w:szCs w:val="21"/>
                <w:highlight w:val="none"/>
                <w:lang w:val="en-US" w:eastAsia="zh-CN" w:bidi="ar-SA"/>
              </w:rPr>
              <w:t>6</w:t>
            </w:r>
          </w:p>
        </w:tc>
        <w:tc>
          <w:tcPr>
            <w:tcW w:w="17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7"/>
                <w:rFonts w:hint="default" w:ascii="Times New Roman" w:hAnsi="Times New Roman" w:eastAsia="方正仿宋_GBK" w:cs="Times New Roman"/>
                <w:b w:val="0"/>
                <w:bCs w:val="0"/>
                <w:i w:val="0"/>
                <w:iCs w:val="0"/>
                <w:caps w:val="0"/>
                <w:color w:val="auto"/>
                <w:spacing w:val="0"/>
                <w:sz w:val="21"/>
                <w:szCs w:val="21"/>
                <w:shd w:val="clear" w:color="auto" w:fill="FFFFFF"/>
              </w:rPr>
            </w:pPr>
            <w:r>
              <w:rPr>
                <w:rStyle w:val="7"/>
                <w:rFonts w:hint="default" w:ascii="Times New Roman" w:hAnsi="Times New Roman" w:eastAsia="方正仿宋_GBK" w:cs="Times New Roman"/>
                <w:b w:val="0"/>
                <w:bCs w:val="0"/>
                <w:i w:val="0"/>
                <w:iCs w:val="0"/>
                <w:caps w:val="0"/>
                <w:color w:val="auto"/>
                <w:spacing w:val="0"/>
                <w:sz w:val="21"/>
                <w:szCs w:val="21"/>
                <w:shd w:val="clear" w:color="auto" w:fill="FFFFFF"/>
              </w:rPr>
              <w:t>政策文件</w:t>
            </w:r>
          </w:p>
        </w:tc>
        <w:tc>
          <w:tcPr>
            <w:tcW w:w="69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aps w:val="0"/>
                <w:color w:val="auto"/>
                <w:spacing w:val="0"/>
                <w:sz w:val="21"/>
                <w:szCs w:val="21"/>
                <w:shd w:val="clear" w:color="auto" w:fill="FFFFFF"/>
              </w:rPr>
            </w:pPr>
            <w:r>
              <w:rPr>
                <w:rFonts w:hint="default" w:ascii="Times New Roman" w:hAnsi="Times New Roman" w:eastAsia="方正仿宋_GBK" w:cs="Times New Roman"/>
                <w:b w:val="0"/>
                <w:bCs w:val="0"/>
                <w:i w:val="0"/>
                <w:iCs w:val="0"/>
                <w:caps w:val="0"/>
                <w:color w:val="auto"/>
                <w:spacing w:val="0"/>
                <w:sz w:val="21"/>
                <w:szCs w:val="21"/>
                <w:shd w:val="clear" w:color="auto" w:fill="FFFFFF"/>
              </w:rPr>
              <w:t>优化网上办事流程，不断提升智能化服务水平，提供更多智能化适老服务。省级医疗保障部门要指导本地各级医疗保障部门加快医保电子凭证和身份证在就医购药中的应用，通过多种形式加大宣传、培训及推广力度，便于老年人等群体方便应用。推动定点医药机构对使用医保电子凭证及身份证等介质的接入改造，鼓励在就医场景中应用人脸识别等技术。推广使用国家医保服务平台APP亲情账户由亲属代为办理的功能。</w:t>
            </w:r>
          </w:p>
        </w:tc>
      </w:tr>
    </w:tbl>
    <w:p>
      <w:pPr>
        <w:rPr>
          <w:rFonts w:hint="default"/>
          <w:lang w:eastAsia="zh-CN"/>
        </w:rPr>
        <w:sectPr>
          <w:pgSz w:w="16838" w:h="11906" w:orient="landscape"/>
          <w:pgMar w:top="1531" w:right="1984" w:bottom="1531" w:left="1531" w:header="851" w:footer="850" w:gutter="0"/>
          <w:pgBorders>
            <w:top w:val="none" w:sz="0" w:space="0"/>
            <w:left w:val="none" w:sz="0" w:space="0"/>
            <w:bottom w:val="none" w:sz="0" w:space="0"/>
            <w:right w:val="none" w:sz="0" w:space="0"/>
          </w:pgBorders>
          <w:pgNumType w:fmt="numberInDash"/>
          <w:cols w:space="720" w:num="1"/>
          <w:rtlGutter w:val="0"/>
          <w:docGrid w:type="linesAndChars" w:linePitch="634" w:charSpace="-2758"/>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gwMThkNjcyMWUwZDgwNTIwNDU2NmQxMzNjYjQifQ=="/>
  </w:docVars>
  <w:rsids>
    <w:rsidRoot w:val="00000000"/>
    <w:rsid w:val="08A9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after="120"/>
      <w:textAlignment w:val="baseline"/>
    </w:pPr>
  </w:style>
  <w:style w:type="paragraph" w:customStyle="1" w:styleId="3">
    <w:name w:val="NormalIndent"/>
    <w:basedOn w:val="1"/>
    <w:qFormat/>
    <w:uiPriority w:val="0"/>
    <w:pPr>
      <w:ind w:firstLine="420"/>
      <w:textAlignment w:val="baseline"/>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2026-01-05T05:06:35Z</dcterms:created>
  <dc:creator>Administrator</dc:creator>
  <cp:lastModifiedBy>Administrator</cp:lastModifiedBy>
  <dcterms:modified xsi:type="dcterms:W3CDTF">2026-01-05T05:06:50Z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48EFD43846A14767A98230CEBB4764A9</vt:lpwstr>
  </property>
</Properties>
</file>