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医保付费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“一件事”事项清单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bdr w:val="none" w:color="auto" w:sz="0" w:space="0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76"/>
        <w:gridCol w:w="1366"/>
        <w:gridCol w:w="2044"/>
        <w:gridCol w:w="2341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主题名称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牵头部门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涉及事项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实施层级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联办部门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医保付费“一件事”</w:t>
            </w:r>
          </w:p>
        </w:tc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bidi="ar"/>
              </w:rPr>
              <w:t>自治区医疗保障局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刷脸付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县（市、区）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医保定点医药机构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亲情付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县（市、区）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国家医疗保障局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共济付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县（市、区）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医保定点医药机构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一码付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县（市、区）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医保定点医药机构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信用付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县（市、区）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医保定点医药机构、商业银行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bdr w:val="none" w:color="auto" w:sz="0" w:space="0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0000000"/>
    <w:rsid w:val="67F0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</w:style>
  <w:style w:type="paragraph" w:customStyle="1" w:styleId="3">
    <w:name w:val="NormalIndent"/>
    <w:basedOn w:val="1"/>
    <w:qFormat/>
    <w:uiPriority w:val="0"/>
    <w:pPr>
      <w:ind w:firstLine="420"/>
      <w:textAlignment w:val="baseline"/>
    </w:pPr>
  </w:style>
  <w:style w:type="paragraph" w:styleId="4">
    <w:name w:val="annotation text"/>
    <w:basedOn w:val="1"/>
    <w:qFormat/>
    <w:uiPriority w:val="0"/>
    <w:pPr>
      <w:jc w:val="left"/>
    </w:pPr>
  </w:style>
  <w:style w:type="character" w:customStyle="1" w:styleId="7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2026-01-05T05:00:02Z</dcterms:created>
  <dc:creator>Administrator</dc:creator>
  <cp:lastModifiedBy>Administrator</cp:lastModifiedBy>
  <dcterms:modified xsi:type="dcterms:W3CDTF">2026-01-05T05:01:50Z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23A08A989C9649FD9832C2EE26774C42</vt:lpwstr>
  </property>
</Properties>
</file>