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附件：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pacing w:val="0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eastAsia="zh-CN"/>
        </w:rPr>
        <w:t>克州新增基本医疗保险定点医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val="en-US" w:eastAsia="zh-CN"/>
        </w:rPr>
        <w:t>疗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eastAsia="zh-CN"/>
        </w:rPr>
        <w:t>机构名单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66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克州人民医院传染病医院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新疆克州阿图什市阿湖乡兰干村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克孜勒苏精神病院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新疆克州阿图什市阿湖乡兰干村塔里克路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51号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66E4"/>
    <w:rsid w:val="4E0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2024-12-12T14:47:00Z</dcterms:created>
  <dc:creator>克州医疗保障局</dc:creator>
  <cp:lastModifiedBy>克州医疗保障局</cp:lastModifiedBy>
  <dcterms:modified xsi:type="dcterms:W3CDTF">2024-12-12T14:48:10Z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