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 w:bidi="ar-SA"/>
        </w:rPr>
      </w:pPr>
      <w:bookmarkStart w:id="4" w:name="_GoBack"/>
      <w:r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 w:bidi="ar-SA"/>
        </w:rPr>
        <w:t>克州基本医疗保险门诊特殊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 w:bidi="ar-SA"/>
        </w:rPr>
        <w:t>慢性病鉴定标准</w:t>
      </w:r>
    </w:p>
    <w:bookmarkEnd w:id="4"/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、糖尿病并发症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（一）糖尿病视网膜病变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申办过糖尿病慢性病,并且实验室及影像学检查支持糖尿病并发症的,对病史及用药记录不做要求.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背景期:I微动脉瘤;Ⅱ微血管瘤,黄白色硬性渗出;Ⅲ微血管瘤,白色软性渗出;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增殖期:Ⅳ新生血管,玻璃体出血;V新生血管,纤维增生;VI视网膜脱离,失明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同时具备以上第(1)条和第(2)(3)条中任意一条的,既符合糖尿病视网膜病变慢性病鉴定标准。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申办过糖尿病慢性病,并且实验室及影像学检查支持糖尿病并发症的,对病史及用药记录不做要求;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眼底荧光造影检查报告单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2" w:firstLineChars="200"/>
        <w:textAlignment w:val="auto"/>
        <w:rPr>
          <w:rFonts w:ascii="楷体" w:hAnsi="楷体" w:eastAsia="楷体" w:cs="楷体"/>
          <w:spacing w:val="-16"/>
          <w:w w:val="98"/>
          <w:sz w:val="34"/>
          <w:szCs w:val="34"/>
        </w:rPr>
      </w:pPr>
      <w:r>
        <w:rPr>
          <w:rFonts w:hint="eastAsia" w:ascii="楷体" w:hAnsi="楷体" w:eastAsia="楷体" w:cs="楷体"/>
          <w:spacing w:val="-16"/>
          <w:w w:val="98"/>
          <w:sz w:val="34"/>
          <w:szCs w:val="34"/>
          <w:lang w:eastAsia="zh-CN"/>
        </w:rPr>
        <w:t>（</w:t>
      </w:r>
      <w:r>
        <w:rPr>
          <w:rFonts w:hint="eastAsia" w:ascii="楷体" w:hAnsi="楷体" w:eastAsia="楷体" w:cs="楷体"/>
          <w:spacing w:val="-16"/>
          <w:w w:val="98"/>
          <w:sz w:val="34"/>
          <w:szCs w:val="34"/>
          <w:lang w:val="en-US" w:eastAsia="zh-CN"/>
        </w:rPr>
        <w:t>二</w:t>
      </w:r>
      <w:r>
        <w:rPr>
          <w:rFonts w:hint="eastAsia" w:ascii="楷体" w:hAnsi="楷体" w:eastAsia="楷体" w:cs="楷体"/>
          <w:spacing w:val="-16"/>
          <w:w w:val="98"/>
          <w:sz w:val="34"/>
          <w:szCs w:val="34"/>
          <w:lang w:eastAsia="zh-CN"/>
        </w:rPr>
        <w:t>）</w:t>
      </w:r>
      <w:r>
        <w:rPr>
          <w:rFonts w:ascii="楷体" w:hAnsi="楷体" w:eastAsia="楷体" w:cs="楷体"/>
          <w:spacing w:val="-16"/>
          <w:w w:val="98"/>
          <w:sz w:val="34"/>
          <w:szCs w:val="34"/>
        </w:rPr>
        <w:t>糖尿病肾病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申办过糖尿病慢性病,并且实验室及影像学检查支持糖尿病并发症的,对病史及用药记录不做要求;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糖尿病肾病三期:持续微量蛋白尿期,尿蛋白排泄率在30-300mg/24H(20-200mg/min)的范围之内,呈持续性;需连续测定三次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间隔每三个月一次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两次阳性者诊断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或同时眼底病变存在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）糖尿病肾病四期：临床蛋白尿；大量蛋白尿（0.3g/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天），为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非选择性;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4）糖尿病肾病五期：终末期肾功能衰竭内生肌酐清除率&lt;50%，血肌酐水平&gt;177μmol/L。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同时具备以上第(1)条和第(2) -(4)条中任意一条的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既符合糖尿病肾病慢性病鉴定标准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申办过糖尿病慢性病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并且实验室及影像学检查 支持糖尿病并发症的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对病史及用药记录不做要求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24小时微量蛋白尿定量检查报告单;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尿常规检查报告单;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24小时尿蛋白定量检查报告单;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肾功能检查报告单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神经病变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过糖尿病慢性病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并且实验室及影像学检查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支持糖尿病并发症的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对病史及用药记录不做要求;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存在感觉神经、运动神经病变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神经肌电图检查异常;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排除其他病因引起的神经病变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同时具备以上3条的,既符合糖尿病神经病变慢性病鉴定标准。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2.申报资料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申办过糖尿病慢性病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并且实验室及影像学检查支持糖尿病并发症的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对病史及用药记录不做要求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神经肌电图检查报告单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糖尿病足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申办过糖尿病慢性病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并且实验室及影像学检查支持糖尿病并发症的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对病史及用药记录不做要求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湿性坏疽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肢端动、静脉同时受阻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皮肤肿胀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溃疡、有脓性分泌物、疼痛；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干性坏疽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肢端动脉及小动脉粥样硬化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血管腔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狭窄或动脉血栓形成；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混合型坏疽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同一足的不同部位呈现干性或湿性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坏疽，坏疽面积较大。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同时具备以上第(1)条和第(2)-(4)条中任意一条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的既符合糖尿病足慢性病鉴定标准。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申办过糖尿病慢性病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并且实验室及影像学检查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支持糖尿病并发症的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对病史及用药记录不做要求;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多普勒超声检查双下肢动脉、静脉血管报告单;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破溃足行X光拍片检查报告单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00" w:firstLineChars="18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16"/>
          <w:w w:val="97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16"/>
          <w:w w:val="97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pacing w:val="-16"/>
          <w:w w:val="97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-16"/>
          <w:w w:val="97"/>
          <w:sz w:val="32"/>
          <w:szCs w:val="32"/>
        </w:rPr>
        <w:t>糖尿病骨关节并发症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1.鉴定标准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申办过糖尿病慢性病,并且实验室及影像学检查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支持糖尿病并发症的,对病史及用药记录不做要求;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糖尿病患者发病多年,出现骨关节变形或疼痛, 拍片发现骨关节有骨刺、骨质疏松改变,骨密度降低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同时具备以上2条的,既符合糖尿病骨关节并发症慢性 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2.申报资料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申办过糖尿病慢性病,并且实验室及影像学检查支持糖尿病并发症的,对病史及用药记录不做要求;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病变部位拍片、骨密度检查报告单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肺结核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申办过糖尿病慢性病,并且实验室及影像学检查 支持糖尿病并发症的,对病史及用药记录不做要求;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糖尿病患者合并结核中毒症状,伴有咳嗽、咳痰、咯血等症状,血沉快、结核菌素实验阳性、胸片示有活动性 结核病灶。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同时具备以上2条的,既符合糖尿病肺结核慢性病鉴定 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申办过糖尿病慢性病,并且实验室及影像学检查 支持糖尿病并发症的,对病史及用药记录不做要求;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胸片、血沉、结核菌素实验检查报告单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二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、慢性肾炎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有半年及以上肾炎病史和治疗用药记录，有肾穿活检病理明 确诊断的无须提供病史及用药记录。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尿液化验异常（尿蛋白+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+++，24小时尿蛋白定量&gt;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g，肉眼血尿或镜下血尿，多形型尿红细胞&gt;0.8万/ml、或伴管型尿），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尿酶异常（包括尿nNAG酶、尿β2-微球蛋白、尿α2-微球蛋白、尿视黄结合蛋白）；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经肾穿刺活检术，明确肾脏病理诊断。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同时具备以上第1、2条或具备第3条的，既符合慢性肾炎慢性病鉴定标准。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近半年病史资料,半年及以上肾炎病史和治疗用药; 有肾穿活检病理明确诊断的无须提供病史及用药记录。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2.尿常规、尿蛋白定量检查报告单;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3.肾功能检查报告单;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4.肾穿刺活检病理报告单。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三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、慢性活动性肝炎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乙肝表面抗原（HBsAg）阳性&gt;6个月；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肝功异常（丙氨酸氨基转移酶（ALT）水平：要求ALT持续升高≥2×ULN或胆红素异常增高）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HBV-DNA阳性；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在特殊情况下需进行肝组织活检提示炎症程度≥G2和（或）纤维化程度≥S2。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同时具备以上第1-3条或具备第4条的，既符合慢性活动性肝炎慢性病鉴定标准。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近一年病史资料；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乙肝两对半检查单；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肝功能检查报告单；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HBV-DNA 检查报告单；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宋体" w:cs="Times New Roman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必要时需提供肝脏病理检查报告单。</w:t>
      </w:r>
    </w:p>
    <w:p>
      <w:pPr>
        <w:widowControl w:val="0"/>
        <w:spacing w:line="501" w:lineRule="exact"/>
        <w:ind w:left="740"/>
        <w:jc w:val="both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四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、慢性前列腺炎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有半年及以上病史和用药记录；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反复发作的下尿路感染尿急、尿频、尿痛、前列腺痛；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尿常规检查异常，此项检查不少于三次，检查时间最少间隔为三个月；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前列腺液检查白细胞&gt;10个/HP，此项检查不少于三次，检查时间最少间隔为三个月；卵磷脂小体数量减少，此项检查不少于三次，检查时间最少间隔为三个月；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排除其他泌尿系统疾病。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 5 条的，既符合慢性前列腺炎慢性病鉴定标准。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近一年病史资料，含半年及以上病史和用药记录；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尿常规检查单；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前列腺液检查单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至少三次，最少间隔三月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）。</w:t>
      </w:r>
    </w:p>
    <w:p>
      <w:pPr>
        <w:widowControl w:val="0"/>
        <w:spacing w:before="44"/>
        <w:ind w:left="740"/>
        <w:jc w:val="both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五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、帕金森病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有半年及以上病史和用药记录，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运动减少，至少具备静止性震颤、肌张力增高、及姿势步态改变中一项一年以上；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左旋多巴制剂治疗有效；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头颅CT或MRI脑沟增宽、脑室扩大或正常；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排除其他疾病引起的帕金森样改变。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同时具备以上5条的，既符合帕金森病慢性病鉴定标准。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近一年病史资料，含近半年及以上病史和用药记录；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头颅CT或MRI检查报告单。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六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、重症肌无力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有半年及以上病史和用药记录；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新斯的明或滕喜龙实验室检查阳性；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疲劳试验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抗胆碱酯酶药物试验阳性；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肌电图神经重复频率刺激检查衰减阳性；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胸部影像检查异常。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同时具备以上第1、2条和第3-5条中任意一条的，既符合重症肌无力慢性病鉴定标准。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近一年病史资料，含近半年及以上病史和用药记录；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新斯的明或滕喜龙实验报告单；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疲劳试验和抗胆碱酯酶药物试验检查报告单；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肌电图实验检查单；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胸部影像检查报告单。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七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、阿尔茨海默病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有一年及以上病史和用药记录；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缓慢进行性记忆力减退，尤以情景记忆障碍为主；伴不同程度精神行为症状，逐渐影响日常生活能力和社会功能，且无法 用谵妄或其他严重精神疾病来解释的；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记忆力、理解力、计算力、定向力减退等；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头颅CT或MRI提示脑萎缩或正常；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精神类心理量表检查：简明心理状况测验（MMSE）检查，总分30分，识别痴呆的划界为文盲组≤17，小学组≤20，中学或以上组≤24；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日常生活能力评定量表检查：ADL 评定标准，满分64分，低于16分为完全正常，大于16分有不同程度的功能下降。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同时具备以上6条的，既符合阿尔茨海默症慢性病鉴定标准。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病史资料，含近一年及以上病史和用药记录；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头颅CT或MRI检查报告单；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精神类心理量表检查报告单；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日常生活能力评定量表检查报告单。</w:t>
      </w:r>
    </w:p>
    <w:p>
      <w:pPr>
        <w:widowControl w:val="0"/>
        <w:spacing w:before="44"/>
        <w:ind w:left="0" w:leftChars="0" w:firstLine="640" w:firstLineChars="200"/>
        <w:jc w:val="both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八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、风湿性心脏病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有一年及以上风湿热病史和用药记录；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有呼吸困难、咳嗽、咯血、声嘶、心绞痛、体位性头晕、晕厥或接近晕厥等症状；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心尖搏动位置、强度异常，心音不同程度减弱或增强并可伴额外心音，心脏各病变瓣膜可闻及病理性杂音，动脉血管搏动异常或可闻及杂音等（明确的心脏瓣膜杂音）；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X线检查：心房、心室增大，肺淤血或肺水肿征象等；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心电图：左心室肥厚，心房增大，窦性心动过速、房室阻滞、室内阻滞、房颤等各种心律失常；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超声心动图：心腔大小容积异常，病变心脏瓣膜见狭窄、关闭不全，中-重度返流，部分患者射血分数下降等。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同时具备以上6条的，既符合风湿性心脏病慢性病鉴定标准。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病史资料，含一年及以上风湿热病史和用药记录；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X线报告单；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心电图；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超声心动图报告单；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风湿热病相关检查报告单。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九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</w:t>
      </w:r>
      <w:r>
        <w:rPr>
          <w:rFonts w:hint="eastAsia" w:ascii="方正黑体_GBK" w:hAnsi="方正仿宋_GBK" w:eastAsia="方正黑体_GBK" w:cs="方正仿宋_GBK"/>
          <w:spacing w:val="-5"/>
          <w:w w:val="95"/>
          <w:kern w:val="2"/>
          <w:sz w:val="32"/>
          <w:szCs w:val="32"/>
          <w:lang w:val="zh-CN" w:eastAsia="zh-CN" w:bidi="zh-CN"/>
        </w:rPr>
        <w:t>结核病</w:t>
      </w:r>
      <w:r>
        <w:rPr>
          <w:rFonts w:hint="eastAsia" w:ascii="方正黑体_GBK" w:hAnsi="方正仿宋_GBK" w:eastAsia="方正黑体_GBK" w:cs="方正仿宋_GBK"/>
          <w:spacing w:val="-5"/>
          <w:w w:val="95"/>
          <w:kern w:val="2"/>
          <w:sz w:val="32"/>
          <w:szCs w:val="32"/>
          <w:lang w:val="en-US" w:eastAsia="zh-CN" w:bidi="zh-CN"/>
        </w:rPr>
        <w:t>、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耐多药结核病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结核病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病史资料和用药记录；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感染部位及脏器出现相应体征；肺结核胸部X线或CT显示活动性肺结核病变特征，肺外结核感染部位及脏器影像检查（X线、CT、B超等）显示结核病变特征；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细菌及分子生物学检查（结核菌涂片、结核菌培养、结核菌药物敏感试验、结核耐多药快速检测），感染部位及脏器的痰液、体液、引流液、活检组织显示结核感染。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同时具备以上4条的，既符合结核病慢性病鉴定标准。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病史资料和用药记录；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胸部X线、CT、B超等检查报告单；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宋体" w:cs="Times New Roman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细菌及分子生物学检查报告单。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zh-CN" w:eastAsia="zh-CN" w:bidi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zh-CN" w:eastAsia="zh-CN" w:bidi="zh-CN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zh-CN"/>
        </w:rPr>
        <w:t>二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zh-CN" w:eastAsia="zh-CN" w:bidi="zh-CN"/>
        </w:rPr>
        <w:t>）耐多药结核病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zh-CN" w:eastAsia="zh-CN" w:bidi="zh-CN"/>
        </w:rPr>
        <w:t>鉴定标准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en-US" w:eastAsia="zh-CN" w:bidi="zh-CN"/>
        </w:rPr>
        <w:t>（1）</w:t>
      </w: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zh-CN" w:eastAsia="zh-CN" w:bidi="zh-CN"/>
        </w:rPr>
        <w:t>病史资料和用药记录；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en-US" w:eastAsia="zh-CN" w:bidi="zh-CN"/>
        </w:rPr>
        <w:t>（2）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  <w:t>痰或分泌物培养药物敏感试验或分子生物学、结核耐多药</w:t>
      </w: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zh-CN" w:eastAsia="zh-CN" w:bidi="zh-CN"/>
        </w:rPr>
        <w:t>快速检测等检查证实对异烟肼及利福平耐药；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en-US" w:eastAsia="zh-CN" w:bidi="zh-CN"/>
        </w:rPr>
        <w:t>（3）胸部X线或CT显示活动性肺结核病变特征。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8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spacing w:val="-15"/>
          <w:kern w:val="2"/>
          <w:sz w:val="32"/>
          <w:szCs w:val="32"/>
          <w:lang w:val="zh-CN" w:eastAsia="zh-CN" w:bidi="zh-CN"/>
        </w:rPr>
        <w:t>同时具备以上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zh-CN"/>
        </w:rPr>
        <w:t>3</w:t>
      </w:r>
      <w:r>
        <w:rPr>
          <w:rFonts w:hint="eastAsia" w:ascii="方正仿宋_GBK" w:hAnsi="方正仿宋_GBK" w:eastAsia="方正仿宋_GBK" w:cs="方正仿宋_GBK"/>
          <w:spacing w:val="-18"/>
          <w:kern w:val="2"/>
          <w:sz w:val="32"/>
          <w:szCs w:val="32"/>
          <w:lang w:val="zh-CN" w:eastAsia="zh-CN" w:bidi="zh-CN"/>
        </w:rPr>
        <w:t>条的，既符合耐多药结核病慢性病鉴定标准。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zh-CN" w:eastAsia="zh-CN" w:bidi="zh-CN"/>
        </w:rPr>
        <w:t>申报资料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en-US" w:eastAsia="zh-CN" w:bidi="zh-CN"/>
        </w:rPr>
        <w:t>（1）</w:t>
      </w: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zh-CN" w:eastAsia="zh-CN" w:bidi="zh-CN"/>
        </w:rPr>
        <w:t>病史资料和用药记录；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en-US" w:eastAsia="zh-CN" w:bidi="zh-CN"/>
        </w:rPr>
        <w:t>（2）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  <w:t>痰或分泌物培养药物敏感试验或分子生物学、结核耐多药</w:t>
      </w: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zh-CN" w:eastAsia="zh-CN" w:bidi="zh-CN"/>
        </w:rPr>
        <w:t>快速检测报告单；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en-US" w:eastAsia="zh-CN" w:bidi="zh-CN"/>
        </w:rPr>
        <w:t>（3）</w:t>
      </w:r>
      <w:r>
        <w:rPr>
          <w:rFonts w:hint="eastAsia" w:ascii="方正仿宋_GBK" w:hAnsi="方正仿宋_GBK" w:eastAsia="方正仿宋_GBK" w:cs="方正仿宋_GBK"/>
          <w:spacing w:val="37"/>
          <w:kern w:val="2"/>
          <w:sz w:val="32"/>
          <w:szCs w:val="24"/>
          <w:lang w:val="zh-CN" w:eastAsia="zh-CN" w:bidi="zh-CN"/>
        </w:rPr>
        <w:t>胸部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  <w:t>X</w:t>
      </w:r>
      <w:r>
        <w:rPr>
          <w:rFonts w:hint="eastAsia" w:ascii="方正仿宋_GBK" w:hAnsi="方正仿宋_GBK" w:eastAsia="方正仿宋_GBK" w:cs="方正仿宋_GBK"/>
          <w:spacing w:val="15"/>
          <w:kern w:val="2"/>
          <w:sz w:val="32"/>
          <w:szCs w:val="24"/>
          <w:lang w:val="zh-CN" w:eastAsia="zh-CN" w:bidi="zh-CN"/>
        </w:rPr>
        <w:t>线或胸部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  <w:t>CT</w:t>
      </w: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zh-CN" w:eastAsia="zh-CN" w:bidi="zh-CN"/>
        </w:rPr>
        <w:t>检查报告单。</w:t>
      </w:r>
    </w:p>
    <w:p>
      <w:pPr>
        <w:widowControl w:val="0"/>
        <w:spacing w:before="44"/>
        <w:ind w:left="740"/>
        <w:jc w:val="both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spacing w:val="-5"/>
          <w:w w:val="95"/>
          <w:kern w:val="2"/>
          <w:sz w:val="32"/>
          <w:szCs w:val="32"/>
          <w:lang w:val="en-US" w:eastAsia="zh-CN" w:bidi="zh-CN"/>
        </w:rPr>
        <w:t>十</w:t>
      </w:r>
      <w:r>
        <w:rPr>
          <w:rFonts w:hint="eastAsia" w:ascii="方正黑体_GBK" w:hAnsi="方正仿宋_GBK" w:eastAsia="方正黑体_GBK" w:cs="方正仿宋_GBK"/>
          <w:spacing w:val="-5"/>
          <w:w w:val="95"/>
          <w:kern w:val="2"/>
          <w:sz w:val="32"/>
          <w:szCs w:val="32"/>
          <w:lang w:val="zh-CN" w:eastAsia="zh-CN" w:bidi="zh-CN"/>
        </w:rPr>
        <w:t>、包虫病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病史资料和用药记录；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早期无明显特征性症状，随包虫囊逐渐增大而产生压迫症候群；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B超或CT检查，可显示囊肿部位﹑大小和形态结构，囊肿有“双层壁”或周边“弧形钙化”特征性影像；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4.手术记录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5.术后病检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同时具备以上5条的，既符合包虫病慢性病鉴定标准。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病史资料和用药记录；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B超或CT检查报告单；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3.手术记录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4.术后病检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十一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、布鲁氏菌病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病史资料和用药记录；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平板凝集试验（PAT）或虎红平板凝集试验（RBPT）结果 为阳性；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病程半年试管凝集试验（SAT）滴度为1:100++及以上（或病程一年以上者SAT滴度为1:50++及以上）；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从病人血液、骨髓、其他体液及排泄物等任一种培养物中分离到布鲁氏菌。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同时具备以上第1、2、3条或具备第4条的，既符合布鲁氏菌病慢性病鉴定标准。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病史资料和用药记录；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平板凝集试验或虎红平板凝集试验报告单；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布病血清学检查报告单；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分离细菌培养报告单。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十二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、克汀病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病史资料和用药记录；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出生、居住于缺碘病区；有精神发育迟滞，主要表现为不同程度的智力障碍；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精神系统症状包括不同的听力障碍、语言障碍及运动障碍； 甲状腺功能低下表现，包括不同程度的身体发育障碍、不同程度的克汀病形象；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甲状腺功能：血清T4低于 66nmol/L（化学发光法），TSH高于 4.2uIU/ml（化学发光法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血浆蛋白结合碘下降，甲状腺摄I131率增高；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血清胆固醇增高；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X线：骨龄落后于实际年龄，颅底短小。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同时具备以上7条的，既符合克汀病慢性病鉴定标准。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病史资料和用药记录；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甲状腺功能报告单；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X线检查报告单；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上述鉴定标准中相应的检查报告单。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十三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、慢性支气管炎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方正楷体_GBK" w:hAnsi="方正仿宋_GBK" w:eastAsia="方正仿宋_GBK" w:cs="方正仿宋_GBK"/>
          <w:kern w:val="2"/>
          <w:sz w:val="16"/>
          <w:szCs w:val="32"/>
          <w:lang w:val="zh-CN" w:eastAsia="zh-CN" w:bidi="zh-CN"/>
        </w:rPr>
      </w:pP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以咳嗽、咳痰为主要症状或有喘息，每年发病持续3个月或更长时间，连续 2 年及以上，并排除具有咳嗽、咳痰、喘息症状的其他疾病；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胸部X 线或胸部CT：可见两肺纹理增粗紊乱，呈网状或条索状，斑点状阴影，以两下肺野较明显；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呼吸功能：吸入支气管扩张剂后，第一秒用力呼气容积占用力肺活量的百分比&lt;70%（FEV1/FCV&lt;70%）。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8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-15"/>
          <w:kern w:val="2"/>
          <w:sz w:val="32"/>
          <w:szCs w:val="32"/>
          <w:lang w:val="zh-CN" w:eastAsia="zh-CN" w:bidi="zh-CN"/>
        </w:rPr>
        <w:t xml:space="preserve">同时具备以上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CN" w:eastAsia="zh-CN" w:bidi="zh-CN"/>
        </w:rPr>
        <w:t xml:space="preserve">3 </w:t>
      </w:r>
      <w:r>
        <w:rPr>
          <w:rFonts w:hint="eastAsia" w:ascii="方正仿宋_GBK" w:hAnsi="方正仿宋_GBK" w:eastAsia="方正仿宋_GBK" w:cs="方正仿宋_GBK"/>
          <w:color w:val="000000"/>
          <w:spacing w:val="-18"/>
          <w:kern w:val="2"/>
          <w:sz w:val="32"/>
          <w:szCs w:val="32"/>
          <w:lang w:val="zh-CN" w:eastAsia="zh-CN" w:bidi="zh-CN"/>
        </w:rPr>
        <w:t>条的，既符合慢性支气管炎慢性病鉴定标准。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病史资料，含近 2 年完整的发作、治疗用药及转归记录；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胸部X 线或胸部CT 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肺功能检查报告单。</w:t>
      </w:r>
    </w:p>
    <w:p>
      <w:pPr>
        <w:widowControl w:val="0"/>
        <w:spacing w:before="45"/>
        <w:ind w:left="740"/>
        <w:jc w:val="both"/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十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四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、重型系统性红斑狼疮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有半年及以上病史资料和治疗用药记录，除皮肤外并发一个或以上脏器损害；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免疫学异常：抗ds-DNA抗体，或抗Sm抗体阳性，或抗磷脂抗体阳性（包括抗心磷脂抗体、抗β2糖蛋白1两者中有一项阳性）；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抗核抗体：在任何时候和未用药物诱发“药物性狼疮”的情况下，抗核抗体滴度异常；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颊部红斑、盘状红斑、光过敏、口腔溃疡；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血常规、尿常规检查异常；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关节炎：非侵蚀性关节炎，累及2个或更多的外周关节，有压痛，肿胀或积液；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浆膜炎：胸膜炎或心包炎；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肾脏病变：尿蛋白&gt;0.5g/24小时或+++或管型(红细胞、血红蛋白、颗粒或混合管型)；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神经病变：癫痫发作或精神病，除外药物或已知的代谢紊乱；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血液学疾病：溶血性贫血，或白细胞减少，或淋巴细胞减少，或血小板减少；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同时具备以上第1、2、3条和第4-10条中任意两条的，既符合重型系统性红斑狼疮慢性病鉴定标准。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近一年病史资料，含近半年及以上病史和治疗用药记录；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免疫学检查报告单；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抗核抗体检查报告单；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上述鉴定标准中相应的检查报告单。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十五、再生障碍性贫血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bookmarkStart w:id="0" w:name="bookmark166"/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1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临床表现贫血，伴感染，出血，肝、脾、淋巴结无肿大。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bookmarkStart w:id="1" w:name="bookmark167"/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2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血象检查其中两项符合：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①血红蛋白下降，网织红细胞减少；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②白细胞减少；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③血小板减少。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2" w:name="bookmark168"/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骨髓象：多部位增生减低，三系造血细胞明显减少, 非造血细胞增多，淋巴细胞比例增高，骨髓小粒中非造血细 胞及脂肪细胞增多；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" w:name="bookmark169"/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bookmarkEnd w:id="3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除外引起全血细胞减少的其他疾病。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符合第1、2、3条，参考第4条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既符合再生障碍性贫血慢性病鉴定标准。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.近一年病史资料；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.血常规、血涂片、网织红细胞；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骨髓检查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报告单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</w:pP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十六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zh-CN" w:eastAsia="zh-CN" w:bidi="zh-CN"/>
        </w:rPr>
        <w:t>、器官移植</w:t>
      </w:r>
      <w:r>
        <w:rPr>
          <w:rFonts w:hint="eastAsia" w:ascii="方正黑体_GBK" w:hAnsi="方正仿宋_GBK" w:eastAsia="方正黑体_GBK" w:cs="方正仿宋_GBK"/>
          <w:kern w:val="2"/>
          <w:sz w:val="32"/>
          <w:szCs w:val="32"/>
          <w:lang w:val="en-US" w:eastAsia="zh-CN" w:bidi="zh-CN"/>
        </w:rPr>
        <w:t>后抗排异治疗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鉴定标准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主要指器官、骨髓、造血干细胞移植后的抗排异性治疗；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有确切的器官、骨髓、造血干细胞移植手术史及抗排异药物治疗记录。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同时具备以上2条的，既符合器官移植慢性病鉴定标准。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  <w:t>（</w:t>
      </w: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en-US" w:eastAsia="zh-CN" w:bidi="zh-CN"/>
        </w:rPr>
        <w:t>二</w:t>
      </w: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  <w:t>）申报资料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left"/>
        <w:textAlignment w:val="auto"/>
        <w:rPr>
          <w:rFonts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en-US" w:eastAsia="zh-CN" w:bidi="zh-CN"/>
        </w:rPr>
        <w:t>1.</w:t>
      </w:r>
      <w:r>
        <w:rPr>
          <w:rFonts w:ascii="方正仿宋_GBK" w:hAnsi="方正仿宋_GBK" w:eastAsia="方正仿宋_GBK" w:cs="方正仿宋_GBK"/>
          <w:spacing w:val="-5"/>
          <w:kern w:val="2"/>
          <w:sz w:val="32"/>
          <w:szCs w:val="24"/>
          <w:lang w:val="zh-CN" w:eastAsia="zh-CN" w:bidi="zh-CN"/>
        </w:rPr>
        <w:t>病史资料和治疗记录；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left"/>
        <w:textAlignment w:val="auto"/>
        <w:rPr>
          <w:rFonts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en-US" w:eastAsia="zh-CN" w:bidi="zh-CN"/>
        </w:rPr>
        <w:t>2.</w:t>
      </w:r>
      <w:r>
        <w:rPr>
          <w:rFonts w:ascii="方正仿宋_GBK" w:hAnsi="方正仿宋_GBK" w:eastAsia="方正仿宋_GBK" w:cs="方正仿宋_GBK"/>
          <w:spacing w:val="-5"/>
          <w:kern w:val="2"/>
          <w:sz w:val="32"/>
          <w:szCs w:val="24"/>
          <w:lang w:val="zh-CN" w:eastAsia="zh-CN" w:bidi="zh-CN"/>
        </w:rPr>
        <w:t>器官移植手术记录；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left"/>
        <w:textAlignment w:val="auto"/>
        <w:rPr>
          <w:rFonts w:ascii="方正仿宋_GBK" w:hAnsi="方正仿宋_GBK" w:eastAsia="方正仿宋_GBK" w:cs="方正仿宋_GBK"/>
          <w:kern w:val="2"/>
          <w:sz w:val="32"/>
          <w:szCs w:val="24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spacing w:val="-5"/>
          <w:kern w:val="2"/>
          <w:sz w:val="32"/>
          <w:szCs w:val="24"/>
          <w:lang w:val="en-US" w:eastAsia="zh-CN" w:bidi="zh-CN"/>
        </w:rPr>
        <w:t>3.</w:t>
      </w:r>
      <w:r>
        <w:rPr>
          <w:rFonts w:ascii="方正仿宋_GBK" w:hAnsi="方正仿宋_GBK" w:eastAsia="方正仿宋_GBK" w:cs="方正仿宋_GBK"/>
          <w:spacing w:val="-5"/>
          <w:kern w:val="2"/>
          <w:sz w:val="32"/>
          <w:szCs w:val="24"/>
          <w:lang w:val="zh-CN" w:eastAsia="zh-CN" w:bidi="zh-CN"/>
        </w:rPr>
        <w:t>使用抗排异药物治疗记录。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9527E"/>
    <w:rsid w:val="3FC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2022-05-26T05:19:00Z</dcterms:created>
  <dc:creator>admin</dc:creator>
  <cp:lastModifiedBy>admin</cp:lastModifiedBy>
  <dcterms:modified xsi:type="dcterms:W3CDTF">2022-05-26T05:21:06Z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