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克州城镇职工、城乡居民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基本医疗保险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门诊特殊慢性病支付标准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 xml:space="preserve">  </w:t>
      </w:r>
      <w:r>
        <w:rPr>
          <w:rFonts w:hint="eastAsia" w:ascii="宋体" w:hAnsi="宋体" w:eastAsia="宋体" w:cs="Times New Roman"/>
          <w:b/>
          <w:bCs/>
          <w:color w:val="000000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单位：元、%</w:t>
      </w:r>
    </w:p>
    <w:tbl>
      <w:tblPr>
        <w:tblStyle w:val="2"/>
        <w:tblpPr w:leftFromText="180" w:rightFromText="180" w:vertAnchor="text" w:horzAnchor="page" w:tblpX="1129" w:tblpY="644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55"/>
        <w:gridCol w:w="1308"/>
        <w:gridCol w:w="1104"/>
        <w:gridCol w:w="1140"/>
        <w:gridCol w:w="1111"/>
        <w:gridCol w:w="12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病种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城镇职工慢病支付标准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城乡居民慢病支付标准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第一种病种统筹基金支付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第二种病种统筹基金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最高支付限额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第一种病种统筹基金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第二种病种统筹基金支付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最高支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仿宋_GB2312" w:hAnsi="仿宋_GB2312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高血压Ⅱ期以上（含Ⅱ期）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冠状动脉粥样硬化心脏病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脑血管意外后并发症（后遗症）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癫痫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慢性肾炎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甲状腺功能亢进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甲状腺功能减退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5100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风湿性心脏病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慢性支气管炎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糖尿病并发症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慢性前列腺炎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包虫病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布鲁氏菌病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结核病（耐多药结核病）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丙肝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慢性萎缩性胃炎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溃疡性结肠炎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克汀病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  <w:t>不能办理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  <w:t>不能办理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90%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器官移植后抗排异治疗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各种恶性肿瘤(门诊放化疗)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肝硬化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慢性活动性肝炎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Times New Roman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重型系统性红斑狼疮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血友病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肾病综合征（含慢性肾功能衰竭、血液透析）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住院比例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无限额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B3688"/>
    <w:rsid w:val="2C5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2022-05-26T05:19:00Z</dcterms:created>
  <dc:creator>admin</dc:creator>
  <cp:lastModifiedBy>admin</cp:lastModifiedBy>
  <dcterms:modified xsi:type="dcterms:W3CDTF">2022-05-26T05:19:29Z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