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方正大标宋简体" w:hAnsi="方正大标宋简体" w:eastAsia="方正大标宋简体" w:cs="方正大标宋简体"/>
          <w:sz w:val="44"/>
          <w:szCs w:val="44"/>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自治州</w:t>
      </w:r>
      <w:r>
        <w:rPr>
          <w:rFonts w:hint="eastAsia" w:ascii="方正小标宋简体" w:hAnsi="方正小标宋简体" w:eastAsia="方正小标宋简体" w:cs="方正小标宋简体"/>
          <w:sz w:val="44"/>
          <w:szCs w:val="44"/>
          <w:lang w:val="en-US" w:eastAsia="zh-CN"/>
        </w:rPr>
        <w:t>2024年推进</w:t>
      </w:r>
      <w:r>
        <w:rPr>
          <w:rFonts w:hint="eastAsia" w:ascii="方正小标宋简体" w:hAnsi="方正小标宋简体" w:eastAsia="方正小标宋简体" w:cs="方正小标宋简体"/>
          <w:sz w:val="44"/>
          <w:szCs w:val="44"/>
        </w:rPr>
        <w:t>义务教育阳光招生专项行动</w:t>
      </w:r>
      <w:r>
        <w:rPr>
          <w:rFonts w:hint="eastAsia" w:ascii="方正小标宋简体" w:hAnsi="方正小标宋简体" w:eastAsia="方正小标宋简体" w:cs="方正小标宋简体"/>
          <w:sz w:val="44"/>
          <w:szCs w:val="44"/>
          <w:lang w:val="en-US" w:eastAsia="zh-CN"/>
        </w:rPr>
        <w:t>的实施</w:t>
      </w:r>
      <w:r>
        <w:rPr>
          <w:rFonts w:hint="eastAsia" w:ascii="方正小标宋简体" w:hAnsi="方正小标宋简体" w:eastAsia="方正小标宋简体" w:cs="方正小标宋简体"/>
          <w:sz w:val="44"/>
          <w:szCs w:val="44"/>
        </w:rPr>
        <w:t>方案</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Times New Roman" w:hAnsi="Times New Roman" w:eastAsia="方正仿宋_GBK" w:cs="Times New Roman"/>
          <w:snapToGrid/>
          <w:kern w:val="0"/>
          <w:sz w:val="32"/>
          <w:szCs w:val="32"/>
          <w:u w:val="none"/>
          <w:lang w:val="en-US" w:eastAsia="zh-CN"/>
        </w:rPr>
        <w:t>根据自治区教育厅印发的《自治区义务教育阳光招生专项行动（</w:t>
      </w:r>
      <w:r>
        <w:rPr>
          <w:rFonts w:hint="eastAsia" w:asciiTheme="minorEastAsia" w:hAnsiTheme="minorEastAsia" w:eastAsiaTheme="minorEastAsia" w:cstheme="minorEastAsia"/>
          <w:snapToGrid/>
          <w:kern w:val="0"/>
          <w:sz w:val="32"/>
          <w:szCs w:val="32"/>
          <w:u w:val="none"/>
          <w:lang w:val="en-US" w:eastAsia="zh-CN"/>
        </w:rPr>
        <w:t>2024</w:t>
      </w:r>
      <w:r>
        <w:rPr>
          <w:rFonts w:hint="eastAsia" w:ascii="Times New Roman" w:hAnsi="Times New Roman" w:eastAsia="方正仿宋_GBK" w:cs="Times New Roman"/>
          <w:snapToGrid/>
          <w:kern w:val="0"/>
          <w:sz w:val="32"/>
          <w:szCs w:val="32"/>
          <w:u w:val="none"/>
          <w:lang w:val="en-US" w:eastAsia="zh-CN"/>
        </w:rPr>
        <w:t>）的工作方案》（新教函〔</w:t>
      </w:r>
      <w:r>
        <w:rPr>
          <w:rFonts w:hint="eastAsia" w:asciiTheme="minorEastAsia" w:hAnsiTheme="minorEastAsia" w:eastAsiaTheme="minorEastAsia" w:cstheme="minorEastAsia"/>
          <w:snapToGrid/>
          <w:kern w:val="0"/>
          <w:sz w:val="32"/>
          <w:szCs w:val="32"/>
          <w:u w:val="none"/>
          <w:lang w:val="en-US" w:eastAsia="zh-CN"/>
        </w:rPr>
        <w:t>2024</w:t>
      </w:r>
      <w:r>
        <w:rPr>
          <w:rFonts w:hint="eastAsia" w:ascii="Times New Roman" w:hAnsi="Times New Roman" w:eastAsia="方正仿宋_GBK" w:cs="Times New Roman"/>
          <w:snapToGrid/>
          <w:kern w:val="0"/>
          <w:sz w:val="32"/>
          <w:szCs w:val="32"/>
          <w:u w:val="none"/>
          <w:lang w:val="en-US" w:eastAsia="zh-CN"/>
        </w:rPr>
        <w:t>〕</w:t>
      </w:r>
      <w:r>
        <w:rPr>
          <w:rFonts w:hint="eastAsia" w:asciiTheme="minorEastAsia" w:hAnsiTheme="minorEastAsia" w:eastAsiaTheme="minorEastAsia" w:cstheme="minorEastAsia"/>
          <w:snapToGrid/>
          <w:kern w:val="0"/>
          <w:sz w:val="32"/>
          <w:szCs w:val="32"/>
          <w:u w:val="none"/>
          <w:lang w:val="en-US" w:eastAsia="zh-CN"/>
        </w:rPr>
        <w:t>182</w:t>
      </w:r>
      <w:r>
        <w:rPr>
          <w:rFonts w:hint="eastAsia" w:ascii="Times New Roman" w:hAnsi="Times New Roman" w:eastAsia="方正仿宋_GBK" w:cs="Times New Roman"/>
          <w:snapToGrid/>
          <w:kern w:val="0"/>
          <w:sz w:val="32"/>
          <w:szCs w:val="32"/>
          <w:u w:val="none"/>
          <w:lang w:val="en-US" w:eastAsia="zh-CN"/>
        </w:rPr>
        <w:t>号），为深入贯彻落实国家、自治区义务教育招生工作要求，依据自治州纪委监委关于全州群众身边不正之风和腐败问题集中整治动员部署会相关精神，全面加强义务教育招生入学管理工作，促进教育公平，维护人民群众切身利益，推动办好公平而有质量的义务教育，现决定组织开展</w:t>
      </w:r>
      <w:r>
        <w:rPr>
          <w:rFonts w:hint="eastAsia" w:asciiTheme="minorEastAsia" w:hAnsiTheme="minorEastAsia" w:eastAsiaTheme="minorEastAsia" w:cstheme="minorEastAsia"/>
          <w:snapToGrid/>
          <w:kern w:val="0"/>
          <w:sz w:val="32"/>
          <w:szCs w:val="32"/>
          <w:u w:val="none"/>
          <w:lang w:val="en-US" w:eastAsia="zh-CN"/>
        </w:rPr>
        <w:t>2024</w:t>
      </w:r>
      <w:r>
        <w:rPr>
          <w:rFonts w:hint="eastAsia" w:ascii="Times New Roman" w:hAnsi="Times New Roman" w:eastAsia="方正仿宋_GBK" w:cs="Times New Roman"/>
          <w:snapToGrid/>
          <w:kern w:val="0"/>
          <w:sz w:val="32"/>
          <w:szCs w:val="32"/>
          <w:u w:val="none"/>
          <w:lang w:val="en-US" w:eastAsia="zh-CN"/>
        </w:rPr>
        <w:t>年义务教育阳光招生专项行动（以下简称专项行动），特制定本工作方案。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snapToGrid/>
          <w:kern w:val="2"/>
          <w:sz w:val="32"/>
          <w:szCs w:val="32"/>
          <w:u w:val="none"/>
          <w:lang w:val="en-US" w:eastAsia="zh-CN"/>
        </w:rPr>
      </w:pPr>
      <w:r>
        <w:rPr>
          <w:rFonts w:hint="eastAsia" w:ascii="黑体" w:hAnsi="黑体" w:eastAsia="黑体" w:cs="黑体"/>
          <w:b w:val="0"/>
          <w:bCs w:val="0"/>
          <w:snapToGrid/>
          <w:kern w:val="2"/>
          <w:sz w:val="32"/>
          <w:szCs w:val="32"/>
          <w:u w:val="none"/>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Times New Roman" w:hAnsi="Times New Roman" w:eastAsia="方正仿宋_GBK" w:cs="Times New Roman"/>
          <w:snapToGrid/>
          <w:kern w:val="0"/>
          <w:sz w:val="32"/>
          <w:szCs w:val="32"/>
          <w:u w:val="none"/>
          <w:lang w:val="en-US" w:eastAsia="zh-CN"/>
        </w:rPr>
        <w:t>通过专项行动，全面加强义务教育招生入学管理工作，全面排查人民群众反映强烈的突出问题，进一步完善义务教育免试就近入学政策、规定、程序、办法，增强招生入学工作的科学性、规范性、透明度，坚决整治“暗箱操作”“掐尖招生”“违规择校”等现象，严肃查处各类跟招生入学挂钩、关联的收费行为，健全公平入学长效机制，营造良好教育生态环境，进一步提高人民群众的教育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eastAsia" w:ascii="黑体" w:hAnsi="黑体" w:eastAsia="黑体" w:cs="黑体"/>
          <w:b w:val="0"/>
          <w:bCs w:val="0"/>
          <w:snapToGrid/>
          <w:kern w:val="2"/>
          <w:sz w:val="32"/>
          <w:szCs w:val="32"/>
          <w:u w:val="none"/>
          <w:lang w:val="en-US" w:eastAsia="zh-CN"/>
        </w:rPr>
        <w:t>二、主要措施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楷体_GB2312" w:hAnsi="楷体_GB2312" w:eastAsia="楷体_GB2312" w:cs="楷体_GB2312"/>
          <w:b w:val="0"/>
          <w:bCs w:val="0"/>
          <w:snapToGrid/>
          <w:kern w:val="2"/>
          <w:sz w:val="32"/>
          <w:szCs w:val="32"/>
          <w:u w:val="none"/>
          <w:lang w:val="en-US" w:eastAsia="zh-CN"/>
        </w:rPr>
        <w:t>（一）优化招生入学政策措施。</w:t>
      </w:r>
      <w:r>
        <w:rPr>
          <w:rFonts w:hint="eastAsia" w:ascii="Times New Roman" w:hAnsi="Times New Roman" w:eastAsia="方正仿宋_GBK" w:cs="Times New Roman"/>
          <w:snapToGrid/>
          <w:kern w:val="0"/>
          <w:sz w:val="32"/>
          <w:szCs w:val="32"/>
          <w:u w:val="none"/>
          <w:lang w:val="en-US" w:eastAsia="zh-CN"/>
        </w:rPr>
        <w:t>各县（市）教育行政部门要对照《中华人民共和国义务教育法》《国务院关于深化考试招生制度改革的实施意见》《教育部关于进一步做好小学升入初中免试就近入学工作的实施意见》（教基一〔</w:t>
      </w:r>
      <w:r>
        <w:rPr>
          <w:rFonts w:hint="eastAsia" w:asciiTheme="minorEastAsia" w:hAnsiTheme="minorEastAsia" w:eastAsiaTheme="minorEastAsia" w:cstheme="minorEastAsia"/>
          <w:snapToGrid/>
          <w:kern w:val="0"/>
          <w:sz w:val="32"/>
          <w:szCs w:val="32"/>
          <w:u w:val="none"/>
          <w:lang w:val="en-US" w:eastAsia="zh-CN"/>
        </w:rPr>
        <w:t>2014</w:t>
      </w:r>
      <w:r>
        <w:rPr>
          <w:rFonts w:hint="eastAsia" w:ascii="Times New Roman" w:hAnsi="Times New Roman" w:eastAsia="方正仿宋_GBK" w:cs="Times New Roman"/>
          <w:snapToGrid/>
          <w:kern w:val="0"/>
          <w:sz w:val="32"/>
          <w:szCs w:val="32"/>
          <w:u w:val="none"/>
          <w:lang w:val="en-US" w:eastAsia="zh-CN"/>
        </w:rPr>
        <w:t>〕</w:t>
      </w:r>
      <w:r>
        <w:rPr>
          <w:rFonts w:hint="eastAsia" w:asciiTheme="minorEastAsia" w:hAnsiTheme="minorEastAsia" w:eastAsiaTheme="minorEastAsia" w:cstheme="minorEastAsia"/>
          <w:snapToGrid/>
          <w:kern w:val="0"/>
          <w:sz w:val="32"/>
          <w:szCs w:val="32"/>
          <w:u w:val="none"/>
          <w:lang w:val="en-US" w:eastAsia="zh-CN"/>
        </w:rPr>
        <w:t>1</w:t>
      </w:r>
      <w:r>
        <w:rPr>
          <w:rFonts w:hint="eastAsia" w:ascii="Times New Roman" w:hAnsi="Times New Roman" w:eastAsia="方正仿宋_GBK" w:cs="Times New Roman"/>
          <w:snapToGrid/>
          <w:kern w:val="0"/>
          <w:sz w:val="32"/>
          <w:szCs w:val="32"/>
          <w:u w:val="none"/>
          <w:lang w:val="en-US" w:eastAsia="zh-CN"/>
        </w:rPr>
        <w:t>号）以及《关于进一步规范中小学招生工作的意见（试行）》（新教规〔</w:t>
      </w:r>
      <w:r>
        <w:rPr>
          <w:rFonts w:hint="eastAsia" w:asciiTheme="minorEastAsia" w:hAnsiTheme="minorEastAsia" w:eastAsiaTheme="minorEastAsia" w:cstheme="minorEastAsia"/>
          <w:snapToGrid/>
          <w:kern w:val="0"/>
          <w:sz w:val="32"/>
          <w:szCs w:val="32"/>
          <w:u w:val="none"/>
          <w:lang w:val="en-US" w:eastAsia="zh-CN"/>
        </w:rPr>
        <w:t>2020</w:t>
      </w:r>
      <w:r>
        <w:rPr>
          <w:rFonts w:hint="eastAsia" w:ascii="Times New Roman" w:hAnsi="Times New Roman" w:eastAsia="方正仿宋_GBK" w:cs="Times New Roman"/>
          <w:snapToGrid/>
          <w:kern w:val="0"/>
          <w:sz w:val="32"/>
          <w:szCs w:val="32"/>
          <w:u w:val="none"/>
          <w:lang w:val="en-US" w:eastAsia="zh-CN"/>
        </w:rPr>
        <w:t>〕</w:t>
      </w:r>
      <w:r>
        <w:rPr>
          <w:rFonts w:hint="eastAsia" w:asciiTheme="minorEastAsia" w:hAnsiTheme="minorEastAsia" w:eastAsiaTheme="minorEastAsia" w:cstheme="minorEastAsia"/>
          <w:snapToGrid/>
          <w:kern w:val="0"/>
          <w:sz w:val="32"/>
          <w:szCs w:val="32"/>
          <w:u w:val="none"/>
          <w:lang w:val="en-US" w:eastAsia="zh-CN"/>
        </w:rPr>
        <w:t>2</w:t>
      </w:r>
      <w:r>
        <w:rPr>
          <w:rFonts w:hint="eastAsia" w:ascii="Times New Roman" w:hAnsi="Times New Roman" w:eastAsia="方正仿宋_GBK" w:cs="Times New Roman"/>
          <w:snapToGrid/>
          <w:kern w:val="0"/>
          <w:sz w:val="32"/>
          <w:szCs w:val="32"/>
          <w:u w:val="none"/>
          <w:lang w:val="en-US" w:eastAsia="zh-CN"/>
        </w:rPr>
        <w:t>号）《关于进一步做好义务教育学校招生入学工作的通知》（新教厅办〔</w:t>
      </w:r>
      <w:r>
        <w:rPr>
          <w:rFonts w:hint="eastAsia" w:asciiTheme="minorEastAsia" w:hAnsiTheme="minorEastAsia" w:eastAsiaTheme="minorEastAsia" w:cstheme="minorEastAsia"/>
          <w:snapToGrid/>
          <w:kern w:val="0"/>
          <w:sz w:val="32"/>
          <w:szCs w:val="32"/>
          <w:u w:val="none"/>
          <w:lang w:val="en-US" w:eastAsia="zh-CN"/>
        </w:rPr>
        <w:t>2023</w:t>
      </w:r>
      <w:r>
        <w:rPr>
          <w:rFonts w:hint="eastAsia" w:ascii="Times New Roman" w:hAnsi="Times New Roman" w:eastAsia="方正仿宋_GBK" w:cs="Times New Roman"/>
          <w:snapToGrid/>
          <w:kern w:val="0"/>
          <w:sz w:val="32"/>
          <w:szCs w:val="32"/>
          <w:u w:val="none"/>
          <w:lang w:val="en-US" w:eastAsia="zh-CN"/>
        </w:rPr>
        <w:t>〕</w:t>
      </w:r>
      <w:r>
        <w:rPr>
          <w:rFonts w:hint="eastAsia" w:asciiTheme="minorEastAsia" w:hAnsiTheme="minorEastAsia" w:eastAsiaTheme="minorEastAsia" w:cstheme="minorEastAsia"/>
          <w:snapToGrid/>
          <w:kern w:val="0"/>
          <w:sz w:val="32"/>
          <w:szCs w:val="32"/>
          <w:u w:val="none"/>
          <w:lang w:val="en-US" w:eastAsia="zh-CN"/>
        </w:rPr>
        <w:t>6</w:t>
      </w:r>
      <w:r>
        <w:rPr>
          <w:rFonts w:hint="eastAsia" w:ascii="Times New Roman" w:hAnsi="Times New Roman" w:eastAsia="方正仿宋_GBK" w:cs="Times New Roman"/>
          <w:snapToGrid/>
          <w:kern w:val="0"/>
          <w:sz w:val="32"/>
          <w:szCs w:val="32"/>
          <w:u w:val="none"/>
          <w:lang w:val="en-US" w:eastAsia="zh-CN"/>
        </w:rPr>
        <w:t>号）等文件精神，以及我州义务教育招生入学工作要求，全面排查本县（市）已有义务教育招生入学政策措施内容，坚决纠正或废止不符合政策精神和要求的相关规定和做法，优化招生入学政策措施。</w:t>
      </w:r>
      <w:r>
        <w:rPr>
          <w:rFonts w:hint="eastAsia" w:ascii="Times New Roman" w:hAnsi="Times New Roman" w:eastAsia="方正仿宋_GBK" w:cs="Times New Roman"/>
          <w:b/>
          <w:bCs/>
          <w:snapToGrid/>
          <w:kern w:val="0"/>
          <w:sz w:val="32"/>
          <w:szCs w:val="32"/>
          <w:u w:val="none"/>
          <w:lang w:val="en-US" w:eastAsia="zh-CN"/>
        </w:rPr>
        <w:t>一是</w:t>
      </w:r>
      <w:r>
        <w:rPr>
          <w:rFonts w:hint="eastAsia" w:ascii="Times New Roman" w:hAnsi="Times New Roman" w:eastAsia="方正仿宋_GBK" w:cs="Times New Roman"/>
          <w:snapToGrid/>
          <w:kern w:val="0"/>
          <w:sz w:val="32"/>
          <w:szCs w:val="32"/>
          <w:u w:val="none"/>
          <w:lang w:val="en-US" w:eastAsia="zh-CN"/>
        </w:rPr>
        <w:t>每所学校的划片招生范围是否科学合理，是否综合考虑适龄儿童少年人数、学校分布规模、行政区划、交通状况等因素，新建学校招生范围和新建小区对口学校划分工作机制是否完善，是否采用按地段对口入学、多校划片或摇号派位等方式入学，调整划片招生范围是否进行了科学深入论证、广泛征求意见并提前向社会公布；</w:t>
      </w:r>
      <w:r>
        <w:rPr>
          <w:rFonts w:hint="eastAsia" w:ascii="Times New Roman" w:hAnsi="Times New Roman" w:eastAsia="方正仿宋_GBK" w:cs="Times New Roman"/>
          <w:b/>
          <w:bCs/>
          <w:snapToGrid/>
          <w:kern w:val="0"/>
          <w:sz w:val="32"/>
          <w:szCs w:val="32"/>
          <w:u w:val="none"/>
          <w:lang w:val="en-US" w:eastAsia="zh-CN"/>
        </w:rPr>
        <w:t>二是</w:t>
      </w:r>
      <w:r>
        <w:rPr>
          <w:rFonts w:hint="eastAsia" w:ascii="Times New Roman" w:hAnsi="Times New Roman" w:eastAsia="方正仿宋_GBK" w:cs="Times New Roman"/>
          <w:snapToGrid/>
          <w:kern w:val="0"/>
          <w:sz w:val="32"/>
          <w:szCs w:val="32"/>
          <w:u w:val="none"/>
          <w:lang w:val="en-US" w:eastAsia="zh-CN"/>
        </w:rPr>
        <w:t>州、县（市）直属义务教育学校是否全面纳入属地招生管理、实行统一招生政策；</w:t>
      </w:r>
      <w:r>
        <w:rPr>
          <w:rFonts w:hint="eastAsia" w:ascii="Times New Roman" w:hAnsi="Times New Roman" w:eastAsia="方正仿宋_GBK" w:cs="Times New Roman"/>
          <w:b/>
          <w:bCs/>
          <w:snapToGrid/>
          <w:kern w:val="0"/>
          <w:sz w:val="32"/>
          <w:szCs w:val="32"/>
          <w:u w:val="none"/>
          <w:lang w:val="en-US" w:eastAsia="zh-CN"/>
        </w:rPr>
        <w:t>三是</w:t>
      </w:r>
      <w:r>
        <w:rPr>
          <w:rFonts w:hint="eastAsia" w:ascii="Times New Roman" w:hAnsi="Times New Roman" w:eastAsia="方正仿宋_GBK" w:cs="Times New Roman"/>
          <w:snapToGrid/>
          <w:kern w:val="0"/>
          <w:sz w:val="32"/>
          <w:szCs w:val="32"/>
          <w:u w:val="none"/>
          <w:lang w:val="en-US" w:eastAsia="zh-CN"/>
        </w:rPr>
        <w:t>现役军人、人民警察、高层次人才等特殊群体子女教育优待政策是否有明确的实施依据、范围、要求和程序。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（二）严肃招生入学工作纪律。</w:t>
      </w:r>
      <w:r>
        <w:rPr>
          <w:rFonts w:hint="eastAsia" w:ascii="Times New Roman" w:hAnsi="Times New Roman" w:eastAsia="方正仿宋_GBK" w:cs="Times New Roman"/>
          <w:snapToGrid/>
          <w:kern w:val="0"/>
          <w:sz w:val="32"/>
          <w:szCs w:val="32"/>
          <w:u w:val="none"/>
          <w:lang w:val="en-US" w:eastAsia="zh-CN"/>
        </w:rPr>
        <w:t>各县（市）教育行政部门要对照中小学招生规定，针对招生入学重点环节，对区域内义务教育学校开展全面排查，坚决纠正违规行为，确保全覆盖、无遗漏。</w:t>
      </w:r>
      <w:r>
        <w:rPr>
          <w:rFonts w:hint="eastAsia" w:ascii="Times New Roman" w:hAnsi="Times New Roman" w:eastAsia="方正仿宋_GBK" w:cs="Times New Roman"/>
          <w:b/>
          <w:bCs/>
          <w:snapToGrid/>
          <w:kern w:val="0"/>
          <w:sz w:val="32"/>
          <w:szCs w:val="32"/>
          <w:u w:val="none"/>
          <w:lang w:val="en-US" w:eastAsia="zh-CN"/>
        </w:rPr>
        <w:t>一是</w:t>
      </w:r>
      <w:r>
        <w:rPr>
          <w:rFonts w:hint="eastAsia" w:ascii="Times New Roman" w:hAnsi="Times New Roman" w:eastAsia="方正仿宋_GBK" w:cs="Times New Roman"/>
          <w:snapToGrid/>
          <w:kern w:val="0"/>
          <w:sz w:val="32"/>
          <w:szCs w:val="32"/>
          <w:u w:val="none"/>
          <w:lang w:val="en-US" w:eastAsia="zh-CN"/>
        </w:rPr>
        <w:t>中小学是否将社会培训机构自行组织的各类文化课考试结果、培训证书以及学科竞赛成绩、考级证明等作为招生参考或依据；</w:t>
      </w:r>
      <w:r>
        <w:rPr>
          <w:rFonts w:hint="eastAsia" w:ascii="Times New Roman" w:hAnsi="Times New Roman" w:eastAsia="方正仿宋_GBK" w:cs="Times New Roman"/>
          <w:b/>
          <w:bCs/>
          <w:snapToGrid/>
          <w:kern w:val="0"/>
          <w:sz w:val="32"/>
          <w:szCs w:val="32"/>
          <w:u w:val="none"/>
          <w:lang w:val="en-US" w:eastAsia="zh-CN"/>
        </w:rPr>
        <w:t>二是</w:t>
      </w:r>
      <w:r>
        <w:rPr>
          <w:rFonts w:hint="eastAsia" w:ascii="Times New Roman" w:hAnsi="Times New Roman" w:eastAsia="方正仿宋_GBK" w:cs="Times New Roman"/>
          <w:snapToGrid/>
          <w:kern w:val="0"/>
          <w:sz w:val="32"/>
          <w:szCs w:val="32"/>
          <w:u w:val="none"/>
          <w:lang w:val="en-US" w:eastAsia="zh-CN"/>
        </w:rPr>
        <w:t>各学校是否收取或变相收取与入学挂钩的“捐资助学款”“共建费”等；</w:t>
      </w:r>
      <w:r>
        <w:rPr>
          <w:rFonts w:hint="eastAsia" w:ascii="Times New Roman" w:hAnsi="Times New Roman" w:eastAsia="方正仿宋_GBK" w:cs="Times New Roman"/>
          <w:b/>
          <w:bCs/>
          <w:snapToGrid/>
          <w:kern w:val="0"/>
          <w:sz w:val="32"/>
          <w:szCs w:val="32"/>
          <w:u w:val="none"/>
          <w:lang w:val="en-US" w:eastAsia="zh-CN"/>
        </w:rPr>
        <w:t>三是</w:t>
      </w:r>
      <w:r>
        <w:rPr>
          <w:rFonts w:hint="eastAsia" w:ascii="Times New Roman" w:hAnsi="Times New Roman" w:eastAsia="方正仿宋_GBK" w:cs="Times New Roman"/>
          <w:snapToGrid/>
          <w:kern w:val="0"/>
          <w:sz w:val="32"/>
          <w:szCs w:val="32"/>
          <w:u w:val="none"/>
          <w:lang w:val="en-US" w:eastAsia="zh-CN"/>
        </w:rPr>
        <w:t>各学校是否以高额物质奖励、虚假宣传、口头承诺或签订录取承诺书等不正当手段招揽生源；</w:t>
      </w:r>
      <w:r>
        <w:rPr>
          <w:rFonts w:hint="eastAsia" w:ascii="Times New Roman" w:hAnsi="Times New Roman" w:eastAsia="方正仿宋_GBK" w:cs="Times New Roman"/>
          <w:b/>
          <w:bCs/>
          <w:snapToGrid/>
          <w:kern w:val="0"/>
          <w:sz w:val="32"/>
          <w:szCs w:val="32"/>
          <w:u w:val="none"/>
          <w:lang w:val="en-US" w:eastAsia="zh-CN"/>
        </w:rPr>
        <w:t>四是</w:t>
      </w:r>
      <w:r>
        <w:rPr>
          <w:rFonts w:hint="eastAsia" w:ascii="Times New Roman" w:hAnsi="Times New Roman" w:eastAsia="方正仿宋_GBK" w:cs="Times New Roman"/>
          <w:snapToGrid/>
          <w:kern w:val="0"/>
          <w:sz w:val="32"/>
          <w:szCs w:val="32"/>
          <w:u w:val="none"/>
          <w:lang w:val="en-US" w:eastAsia="zh-CN"/>
        </w:rPr>
        <w:t>各学校是否自行组织或与社会培训机构联合组织以选拔生源为目的的各类测试面试等；</w:t>
      </w:r>
      <w:r>
        <w:rPr>
          <w:rFonts w:hint="eastAsia" w:ascii="Times New Roman" w:hAnsi="Times New Roman" w:eastAsia="方正仿宋_GBK" w:cs="Times New Roman"/>
          <w:b/>
          <w:bCs/>
          <w:snapToGrid/>
          <w:kern w:val="0"/>
          <w:sz w:val="32"/>
          <w:szCs w:val="32"/>
          <w:u w:val="none"/>
          <w:lang w:val="en-US" w:eastAsia="zh-CN"/>
        </w:rPr>
        <w:t>五是</w:t>
      </w:r>
      <w:r>
        <w:rPr>
          <w:rFonts w:hint="eastAsia" w:ascii="Times New Roman" w:hAnsi="Times New Roman" w:eastAsia="方正仿宋_GBK" w:cs="Times New Roman"/>
          <w:snapToGrid/>
          <w:kern w:val="0"/>
          <w:sz w:val="32"/>
          <w:szCs w:val="32"/>
          <w:u w:val="none"/>
          <w:lang w:val="en-US" w:eastAsia="zh-CN"/>
        </w:rPr>
        <w:t>各学校是否存在安排“违规择校”行为；</w:t>
      </w:r>
      <w:r>
        <w:rPr>
          <w:rFonts w:hint="eastAsia" w:ascii="Times New Roman" w:hAnsi="Times New Roman" w:eastAsia="方正仿宋_GBK" w:cs="Times New Roman"/>
          <w:b/>
          <w:bCs/>
          <w:snapToGrid/>
          <w:kern w:val="0"/>
          <w:sz w:val="32"/>
          <w:szCs w:val="32"/>
          <w:u w:val="none"/>
          <w:lang w:val="en-US" w:eastAsia="zh-CN"/>
        </w:rPr>
        <w:t>六是</w:t>
      </w:r>
      <w:r>
        <w:rPr>
          <w:rFonts w:hint="eastAsia" w:ascii="Times New Roman" w:hAnsi="Times New Roman" w:eastAsia="方正仿宋_GBK" w:cs="Times New Roman"/>
          <w:snapToGrid/>
          <w:kern w:val="0"/>
          <w:sz w:val="32"/>
          <w:szCs w:val="32"/>
          <w:u w:val="none"/>
          <w:lang w:val="en-US" w:eastAsia="zh-CN"/>
        </w:rPr>
        <w:t>各学校是否设立或变相设立重点班、快慢班，以此名义掐尖招生。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（三）强化招生信息公开。</w:t>
      </w:r>
      <w:r>
        <w:rPr>
          <w:rFonts w:hint="eastAsia" w:ascii="Times New Roman" w:hAnsi="Times New Roman" w:eastAsia="方正仿宋_GBK" w:cs="Times New Roman"/>
          <w:snapToGrid/>
          <w:kern w:val="0"/>
          <w:sz w:val="32"/>
          <w:szCs w:val="32"/>
          <w:u w:val="none"/>
          <w:lang w:val="en-US" w:eastAsia="zh-CN"/>
        </w:rPr>
        <w:t>各县（市）教育行政部门要主动加强信息公开，及时向社会公布当年本辖区义务教育学校招生政策和具体实施方案，增加招生入学工作透明度，接受社会监督。</w:t>
      </w:r>
      <w:r>
        <w:rPr>
          <w:rFonts w:hint="eastAsia" w:ascii="Times New Roman" w:hAnsi="Times New Roman" w:eastAsia="方正仿宋_GBK" w:cs="Times New Roman"/>
          <w:b/>
          <w:bCs/>
          <w:snapToGrid/>
          <w:kern w:val="0"/>
          <w:sz w:val="32"/>
          <w:szCs w:val="32"/>
          <w:u w:val="none"/>
          <w:lang w:val="en-US" w:eastAsia="zh-CN"/>
        </w:rPr>
        <w:t>一是</w:t>
      </w:r>
      <w:r>
        <w:rPr>
          <w:rFonts w:hint="eastAsia" w:ascii="Times New Roman" w:hAnsi="Times New Roman" w:eastAsia="方正仿宋_GBK" w:cs="Times New Roman"/>
          <w:snapToGrid/>
          <w:kern w:val="0"/>
          <w:sz w:val="32"/>
          <w:szCs w:val="32"/>
          <w:u w:val="none"/>
          <w:lang w:val="en-US" w:eastAsia="zh-CN"/>
        </w:rPr>
        <w:t>县（市）教育行政部门是否通过互联网等多种方式公布辖区内每所义务教育学校招生政策、划片范围、报名条件、招生程序等群众关心的重要信息；</w:t>
      </w:r>
      <w:r>
        <w:rPr>
          <w:rFonts w:hint="eastAsia" w:ascii="Times New Roman" w:hAnsi="Times New Roman" w:eastAsia="方正仿宋_GBK" w:cs="Times New Roman"/>
          <w:b/>
          <w:bCs/>
          <w:snapToGrid/>
          <w:kern w:val="0"/>
          <w:sz w:val="32"/>
          <w:szCs w:val="32"/>
          <w:u w:val="none"/>
          <w:lang w:val="en-US" w:eastAsia="zh-CN"/>
        </w:rPr>
        <w:t>二是</w:t>
      </w:r>
      <w:r>
        <w:rPr>
          <w:rFonts w:hint="eastAsia" w:ascii="Times New Roman" w:hAnsi="Times New Roman" w:eastAsia="方正仿宋_GBK" w:cs="Times New Roman"/>
          <w:snapToGrid/>
          <w:kern w:val="0"/>
          <w:sz w:val="32"/>
          <w:szCs w:val="32"/>
          <w:u w:val="none"/>
          <w:lang w:val="en-US" w:eastAsia="zh-CN"/>
        </w:rPr>
        <w:t>各学校是否及时公示入学新生名单：</w:t>
      </w:r>
      <w:r>
        <w:rPr>
          <w:rFonts w:hint="eastAsia" w:ascii="Times New Roman" w:hAnsi="Times New Roman" w:eastAsia="方正仿宋_GBK" w:cs="Times New Roman"/>
          <w:b/>
          <w:bCs/>
          <w:snapToGrid/>
          <w:kern w:val="0"/>
          <w:sz w:val="32"/>
          <w:szCs w:val="32"/>
          <w:u w:val="none"/>
          <w:lang w:val="en-US" w:eastAsia="zh-CN"/>
        </w:rPr>
        <w:t>三是</w:t>
      </w:r>
      <w:r>
        <w:rPr>
          <w:rFonts w:hint="eastAsia" w:ascii="Times New Roman" w:hAnsi="Times New Roman" w:eastAsia="方正仿宋_GBK" w:cs="Times New Roman"/>
          <w:snapToGrid/>
          <w:kern w:val="0"/>
          <w:sz w:val="32"/>
          <w:szCs w:val="32"/>
          <w:u w:val="none"/>
          <w:lang w:val="en-US" w:eastAsia="zh-CN"/>
        </w:rPr>
        <w:t>各县（市）是否建立响应机制，指导区域内热点中小学校对社会和家长关心关注的问题及时予以回应、面向公众公开声明；</w:t>
      </w:r>
      <w:r>
        <w:rPr>
          <w:rFonts w:hint="eastAsia" w:ascii="Times New Roman" w:hAnsi="Times New Roman" w:eastAsia="方正仿宋_GBK" w:cs="Times New Roman"/>
          <w:b/>
          <w:bCs/>
          <w:snapToGrid/>
          <w:kern w:val="0"/>
          <w:sz w:val="32"/>
          <w:szCs w:val="32"/>
          <w:u w:val="none"/>
          <w:lang w:val="en-US" w:eastAsia="zh-CN"/>
        </w:rPr>
        <w:t>四是</w:t>
      </w:r>
      <w:r>
        <w:rPr>
          <w:rFonts w:hint="eastAsia" w:ascii="Times New Roman" w:hAnsi="Times New Roman" w:eastAsia="方正仿宋_GBK" w:cs="Times New Roman"/>
          <w:snapToGrid/>
          <w:kern w:val="0"/>
          <w:sz w:val="32"/>
          <w:szCs w:val="32"/>
          <w:u w:val="none"/>
          <w:lang w:val="en-US" w:eastAsia="zh-CN"/>
        </w:rPr>
        <w:t>各县（市）是否建立专门的招生入学热线并向社会公布，畅通政策咨询、举报申诉等渠道。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（四）优化招生入学流程。</w:t>
      </w:r>
      <w:r>
        <w:rPr>
          <w:rFonts w:hint="eastAsia" w:ascii="Times New Roman" w:hAnsi="Times New Roman" w:eastAsia="方正仿宋_GBK" w:cs="Times New Roman"/>
          <w:snapToGrid/>
          <w:kern w:val="0"/>
          <w:sz w:val="32"/>
          <w:szCs w:val="32"/>
          <w:u w:val="none"/>
          <w:lang w:val="en-US" w:eastAsia="zh-CN"/>
        </w:rPr>
        <w:t>各县（市）教育行政部门要严格落实国务院、自治区及自治州关于进一步优化政务服务提升效能的政策部署，进一步优化登记入学、电脑派位工作，便捷招生入学流程，减轻群众负担。</w:t>
      </w:r>
      <w:r>
        <w:rPr>
          <w:rFonts w:hint="eastAsia" w:ascii="Times New Roman" w:hAnsi="Times New Roman" w:eastAsia="方正仿宋_GBK" w:cs="Times New Roman"/>
          <w:b/>
          <w:bCs/>
          <w:snapToGrid/>
          <w:kern w:val="0"/>
          <w:sz w:val="32"/>
          <w:szCs w:val="32"/>
          <w:u w:val="none"/>
          <w:lang w:val="en-US" w:eastAsia="zh-CN"/>
        </w:rPr>
        <w:t>一是</w:t>
      </w:r>
      <w:r>
        <w:rPr>
          <w:rFonts w:hint="eastAsia" w:ascii="Times New Roman" w:hAnsi="Times New Roman" w:eastAsia="方正仿宋_GBK" w:cs="Times New Roman"/>
          <w:snapToGrid/>
          <w:kern w:val="0"/>
          <w:sz w:val="32"/>
          <w:szCs w:val="32"/>
          <w:u w:val="none"/>
          <w:lang w:val="en-US" w:eastAsia="zh-CN"/>
        </w:rPr>
        <w:t>县（市）教育行政部门是否使用统一的招生入学服务平台，各县（市）是否积极推动使用全国基础教育管理服务平台阳光招生子系统或自治区数字化发展局拟建设的简易审批系统，落实招生入学全流程网上办理，提升家长使用体验，实行专人负责、分级审核、相互检查的监督机制；</w:t>
      </w:r>
      <w:r>
        <w:rPr>
          <w:rFonts w:hint="eastAsia" w:ascii="Times New Roman" w:hAnsi="Times New Roman" w:eastAsia="方正仿宋_GBK" w:cs="Times New Roman"/>
          <w:b/>
          <w:bCs/>
          <w:snapToGrid/>
          <w:kern w:val="0"/>
          <w:sz w:val="32"/>
          <w:szCs w:val="32"/>
          <w:u w:val="none"/>
          <w:lang w:val="en-US" w:eastAsia="zh-CN"/>
        </w:rPr>
        <w:t>二是</w:t>
      </w:r>
      <w:r>
        <w:rPr>
          <w:rFonts w:hint="eastAsia" w:ascii="Times New Roman" w:hAnsi="Times New Roman" w:eastAsia="方正仿宋_GBK" w:cs="Times New Roman"/>
          <w:snapToGrid/>
          <w:kern w:val="0"/>
          <w:sz w:val="32"/>
          <w:szCs w:val="32"/>
          <w:u w:val="none"/>
          <w:lang w:val="en-US" w:eastAsia="zh-CN"/>
        </w:rPr>
        <w:t>各县（市）是否推动逐步实现区域内户籍、房产、居住证、出生证明、疫苗接种等入学相关信息互通共享，利用信息化手段自动比对审核入学证明材料，落实“高效办成一件事”要求；</w:t>
      </w:r>
      <w:r>
        <w:rPr>
          <w:rFonts w:hint="eastAsia" w:ascii="Times New Roman" w:hAnsi="Times New Roman" w:eastAsia="方正仿宋_GBK" w:cs="Times New Roman"/>
          <w:b/>
          <w:bCs/>
          <w:snapToGrid/>
          <w:kern w:val="0"/>
          <w:sz w:val="32"/>
          <w:szCs w:val="32"/>
          <w:u w:val="none"/>
          <w:lang w:val="en-US" w:eastAsia="zh-CN"/>
        </w:rPr>
        <w:t>三是</w:t>
      </w:r>
      <w:r>
        <w:rPr>
          <w:rFonts w:hint="eastAsia" w:ascii="Times New Roman" w:hAnsi="Times New Roman" w:eastAsia="方正仿宋_GBK" w:cs="Times New Roman"/>
          <w:snapToGrid/>
          <w:kern w:val="0"/>
          <w:sz w:val="32"/>
          <w:szCs w:val="32"/>
          <w:u w:val="none"/>
          <w:lang w:val="en-US" w:eastAsia="zh-CN"/>
        </w:rPr>
        <w:t>各学校是否规范信息采集，加强学生及家长信息保护，严格按照学籍信息采集表内容采集学生信息，防止通过各类</w:t>
      </w:r>
      <w:r>
        <w:rPr>
          <w:rFonts w:hint="eastAsia" w:ascii="宋体" w:hAnsi="宋体" w:eastAsia="宋体" w:cs="宋体"/>
          <w:snapToGrid/>
          <w:kern w:val="0"/>
          <w:sz w:val="32"/>
          <w:szCs w:val="32"/>
          <w:u w:val="none"/>
          <w:lang w:val="en-US" w:eastAsia="zh-CN"/>
        </w:rPr>
        <w:t>APP</w:t>
      </w:r>
      <w:r>
        <w:rPr>
          <w:rFonts w:hint="eastAsia" w:ascii="Times New Roman" w:hAnsi="Times New Roman" w:eastAsia="方正仿宋_GBK" w:cs="Times New Roman"/>
          <w:snapToGrid/>
          <w:kern w:val="0"/>
          <w:sz w:val="32"/>
          <w:szCs w:val="32"/>
          <w:u w:val="none"/>
          <w:lang w:val="en-US" w:eastAsia="zh-CN"/>
        </w:rPr>
        <w:t>、小程序随意反复采集学生相关信息。</w:t>
      </w:r>
      <w:r>
        <w:rPr>
          <w:rFonts w:hint="eastAsia" w:ascii="Times New Roman" w:hAnsi="Times New Roman" w:eastAsia="方正仿宋_GBK" w:cs="Times New Roman"/>
          <w:b/>
          <w:bCs/>
          <w:snapToGrid/>
          <w:kern w:val="0"/>
          <w:sz w:val="32"/>
          <w:szCs w:val="32"/>
          <w:u w:val="none"/>
          <w:lang w:val="en-US" w:eastAsia="zh-CN"/>
        </w:rPr>
        <w:t>四是</w:t>
      </w:r>
      <w:r>
        <w:rPr>
          <w:rFonts w:hint="eastAsia" w:ascii="Times New Roman" w:hAnsi="Times New Roman" w:eastAsia="方正仿宋_GBK" w:cs="Times New Roman"/>
          <w:snapToGrid/>
          <w:kern w:val="0"/>
          <w:sz w:val="32"/>
          <w:szCs w:val="32"/>
          <w:u w:val="none"/>
          <w:lang w:val="en-US" w:eastAsia="zh-CN"/>
        </w:rPr>
        <w:t>各县（市）是否开展辖区内招生防诈骗宣传，是否开展反诈宣传、学校讲座、在微信公众号发布“关于阳光招生致家长的一封信”，在各中小学、培训机构张贴“阳光招生 谨防受骗”宣传海报等方式，做好招生季防诈骗宣传，引导学生和家长增强防范意识。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（五）保障特殊群体入学。</w:t>
      </w:r>
      <w:r>
        <w:rPr>
          <w:rFonts w:hint="eastAsia" w:ascii="Times New Roman" w:hAnsi="Times New Roman" w:eastAsia="方正仿宋_GBK" w:cs="Times New Roman"/>
          <w:snapToGrid/>
          <w:kern w:val="0"/>
          <w:sz w:val="32"/>
          <w:szCs w:val="32"/>
          <w:u w:val="none"/>
          <w:lang w:val="en-US" w:eastAsia="zh-CN"/>
        </w:rPr>
        <w:t>各县（市）教育行政部门要加强辍学儿童、进城务工人员随迁子女、农业转移人口子女、留守儿童、残疾儿童等特殊群体入学保障工作，确保所有适龄儿童少年平等接受义务教育，应入尽入、应保尽保。</w:t>
      </w:r>
      <w:r>
        <w:rPr>
          <w:rFonts w:hint="eastAsia" w:ascii="Times New Roman" w:hAnsi="Times New Roman" w:eastAsia="方正仿宋_GBK" w:cs="Times New Roman"/>
          <w:b/>
          <w:bCs/>
          <w:snapToGrid/>
          <w:kern w:val="0"/>
          <w:sz w:val="32"/>
          <w:szCs w:val="32"/>
          <w:u w:val="none"/>
          <w:lang w:val="en-US" w:eastAsia="zh-CN"/>
        </w:rPr>
        <w:t>一是</w:t>
      </w:r>
      <w:r>
        <w:rPr>
          <w:rFonts w:hint="eastAsia" w:ascii="Times New Roman" w:hAnsi="Times New Roman" w:eastAsia="方正仿宋_GBK" w:cs="Times New Roman"/>
          <w:snapToGrid/>
          <w:kern w:val="0"/>
          <w:sz w:val="32"/>
          <w:szCs w:val="32"/>
          <w:u w:val="none"/>
          <w:lang w:val="en-US" w:eastAsia="zh-CN"/>
        </w:rPr>
        <w:t>各县（市）是否健全和落实控辍保学长效机制，落实义务教育各方法定责任，及时更新全国中小学学籍管理系统控辍保学台账数据及全国基础教育管理服务平台控辍保学台账中疑似辍学和辍学学生信息并加强劝返复学工作；</w:t>
      </w:r>
      <w:r>
        <w:rPr>
          <w:rFonts w:hint="eastAsia" w:ascii="Times New Roman" w:hAnsi="Times New Roman" w:eastAsia="方正仿宋_GBK" w:cs="Times New Roman"/>
          <w:b/>
          <w:bCs/>
          <w:snapToGrid/>
          <w:kern w:val="0"/>
          <w:sz w:val="32"/>
          <w:szCs w:val="32"/>
          <w:u w:val="none"/>
          <w:lang w:val="en-US" w:eastAsia="zh-CN"/>
        </w:rPr>
        <w:t>二是</w:t>
      </w:r>
      <w:r>
        <w:rPr>
          <w:rFonts w:hint="eastAsia" w:ascii="Times New Roman" w:hAnsi="Times New Roman" w:eastAsia="方正仿宋_GBK" w:cs="Times New Roman"/>
          <w:snapToGrid/>
          <w:kern w:val="0"/>
          <w:sz w:val="32"/>
          <w:szCs w:val="32"/>
          <w:u w:val="none"/>
          <w:lang w:val="en-US" w:eastAsia="zh-CN"/>
        </w:rPr>
        <w:t>县（市）是否全面落实随迁子女入学政策，精简入学证明材料，巩固并稳步提升进城务工人员随迁子女在公办学校就读比例；</w:t>
      </w:r>
      <w:r>
        <w:rPr>
          <w:rFonts w:hint="eastAsia" w:ascii="Times New Roman" w:hAnsi="Times New Roman" w:eastAsia="方正仿宋_GBK" w:cs="Times New Roman"/>
          <w:b/>
          <w:bCs/>
          <w:snapToGrid/>
          <w:kern w:val="0"/>
          <w:sz w:val="32"/>
          <w:szCs w:val="32"/>
          <w:u w:val="none"/>
          <w:lang w:val="en-US" w:eastAsia="zh-CN"/>
        </w:rPr>
        <w:t>三是</w:t>
      </w:r>
      <w:r>
        <w:rPr>
          <w:rFonts w:hint="eastAsia" w:ascii="Times New Roman" w:hAnsi="Times New Roman" w:eastAsia="方正仿宋_GBK" w:cs="Times New Roman"/>
          <w:snapToGrid/>
          <w:kern w:val="0"/>
          <w:sz w:val="32"/>
          <w:szCs w:val="32"/>
          <w:u w:val="none"/>
          <w:lang w:val="en-US" w:eastAsia="zh-CN"/>
        </w:rPr>
        <w:t>各县（市）是否依法保障能够接受普通教育的适龄残疾儿童少年就近就便随班就读；</w:t>
      </w:r>
      <w:r>
        <w:rPr>
          <w:rFonts w:hint="eastAsia" w:ascii="Times New Roman" w:hAnsi="Times New Roman" w:eastAsia="方正仿宋_GBK" w:cs="Times New Roman"/>
          <w:b/>
          <w:bCs/>
          <w:snapToGrid/>
          <w:kern w:val="0"/>
          <w:sz w:val="32"/>
          <w:szCs w:val="32"/>
          <w:u w:val="none"/>
          <w:lang w:val="en-US" w:eastAsia="zh-CN"/>
        </w:rPr>
        <w:t>四是</w:t>
      </w:r>
      <w:r>
        <w:rPr>
          <w:rFonts w:hint="eastAsia" w:ascii="Times New Roman" w:hAnsi="Times New Roman" w:eastAsia="方正仿宋_GBK" w:cs="Times New Roman"/>
          <w:snapToGrid/>
          <w:kern w:val="0"/>
          <w:sz w:val="32"/>
          <w:szCs w:val="32"/>
          <w:u w:val="none"/>
          <w:lang w:val="en-US" w:eastAsia="zh-CN"/>
        </w:rPr>
        <w:t>各县（市）是否建立本地农村留守儿童、事实无人抚养儿童、孤儿、家庭经济困难学生等群体的入学工作台账，健全与公安、民政等部门信息共享制度。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（六）及时处理群众信访投诉。</w:t>
      </w:r>
      <w:r>
        <w:rPr>
          <w:rFonts w:hint="eastAsia" w:ascii="Times New Roman" w:hAnsi="Times New Roman" w:eastAsia="方正仿宋_GBK" w:cs="Times New Roman"/>
          <w:snapToGrid/>
          <w:kern w:val="0"/>
          <w:sz w:val="32"/>
          <w:szCs w:val="32"/>
          <w:u w:val="none"/>
          <w:lang w:val="en-US" w:eastAsia="zh-CN"/>
        </w:rPr>
        <w:t>指定专人负责接访工作，明确信访接待相关工作流程和工作原则。坚持接诉即办，每天收集群众信访诉求，及时跟进处理，对于同一类问题，编制统一答复口径。完善信访处置机制，建立群众信访跟踪督办机制，完善办理反馈制度，按时限办结群众信访问题，并严格遵循“谁承办、谁答复”的原则，及时反馈办理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黑体" w:hAnsi="黑体" w:eastAsia="黑体" w:cs="黑体"/>
          <w:b w:val="0"/>
          <w:bCs w:val="0"/>
          <w:snapToGrid/>
          <w:kern w:val="2"/>
          <w:sz w:val="32"/>
          <w:szCs w:val="32"/>
          <w:u w:val="none"/>
          <w:lang w:val="en-US" w:eastAsia="zh-CN"/>
        </w:rPr>
        <w:t>三、工作安排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（一）县级排查。</w:t>
      </w:r>
      <w:r>
        <w:rPr>
          <w:rFonts w:hint="eastAsia" w:asciiTheme="minorEastAsia" w:hAnsiTheme="minorEastAsia" w:eastAsiaTheme="minorEastAsia" w:cstheme="minorEastAsia"/>
          <w:snapToGrid/>
          <w:kern w:val="0"/>
          <w:sz w:val="32"/>
          <w:szCs w:val="32"/>
          <w:u w:val="none"/>
          <w:lang w:val="en-US" w:eastAsia="zh-CN"/>
        </w:rPr>
        <w:t>5</w:t>
      </w:r>
      <w:r>
        <w:rPr>
          <w:rFonts w:hint="eastAsia" w:ascii="Times New Roman" w:hAnsi="Times New Roman" w:eastAsia="方正仿宋_GBK" w:cs="Times New Roman"/>
          <w:snapToGrid/>
          <w:kern w:val="0"/>
          <w:sz w:val="32"/>
          <w:szCs w:val="32"/>
          <w:u w:val="none"/>
          <w:lang w:val="en-US" w:eastAsia="zh-CN"/>
        </w:rPr>
        <w:t>月</w:t>
      </w:r>
      <w:r>
        <w:rPr>
          <w:rFonts w:hint="default" w:ascii="Times New Roman" w:hAnsi="Times New Roman" w:eastAsia="仿宋_GB2312" w:cs="Times New Roman"/>
          <w:b w:val="0"/>
          <w:bCs w:val="0"/>
          <w:sz w:val="32"/>
          <w:szCs w:val="32"/>
          <w:u w:val="none"/>
          <w:lang w:val="en-US" w:eastAsia="zh-CN"/>
        </w:rPr>
        <w:t>—</w:t>
      </w:r>
      <w:r>
        <w:rPr>
          <w:rFonts w:hint="eastAsia" w:asciiTheme="minorEastAsia" w:hAnsiTheme="minorEastAsia" w:eastAsiaTheme="minorEastAsia" w:cstheme="minorEastAsia"/>
          <w:snapToGrid/>
          <w:kern w:val="0"/>
          <w:sz w:val="32"/>
          <w:szCs w:val="32"/>
          <w:u w:val="none"/>
          <w:lang w:val="en-US" w:eastAsia="zh-CN"/>
        </w:rPr>
        <w:t>7</w:t>
      </w:r>
      <w:r>
        <w:rPr>
          <w:rFonts w:hint="eastAsia" w:ascii="Times New Roman" w:hAnsi="Times New Roman" w:eastAsia="方正仿宋_GBK" w:cs="Times New Roman"/>
          <w:snapToGrid/>
          <w:kern w:val="0"/>
          <w:sz w:val="32"/>
          <w:szCs w:val="32"/>
          <w:u w:val="none"/>
          <w:lang w:val="en-US" w:eastAsia="zh-CN"/>
        </w:rPr>
        <w:t>月，县（市）教育行政部门根据排查内容，逐条逐项对照本地及所辖学校招生方案、各类优待政策等开展排查，建立工作台账，填写《义务教育阳光招生专项行动对照检查表》（附件</w:t>
      </w:r>
      <w:r>
        <w:rPr>
          <w:rFonts w:hint="eastAsia" w:asciiTheme="minorEastAsia" w:hAnsiTheme="minorEastAsia" w:eastAsiaTheme="minorEastAsia" w:cstheme="minorEastAsia"/>
          <w:snapToGrid/>
          <w:kern w:val="0"/>
          <w:sz w:val="32"/>
          <w:szCs w:val="32"/>
          <w:u w:val="none"/>
          <w:lang w:val="en-US" w:eastAsia="zh-CN"/>
        </w:rPr>
        <w:t>1</w:t>
      </w:r>
      <w:r>
        <w:rPr>
          <w:rFonts w:hint="eastAsia" w:ascii="Times New Roman" w:hAnsi="Times New Roman" w:eastAsia="方正仿宋_GBK" w:cs="Times New Roman"/>
          <w:snapToGrid/>
          <w:kern w:val="0"/>
          <w:sz w:val="32"/>
          <w:szCs w:val="32"/>
          <w:u w:val="none"/>
          <w:lang w:val="en-US" w:eastAsia="zh-CN"/>
        </w:rPr>
        <w:t>）。要重点查找人民群众反映较多、易引发群体性事件的问题，及时妥善予以处置，填写《招生入学工作问题线索管理台账》（附件</w:t>
      </w:r>
      <w:r>
        <w:rPr>
          <w:rFonts w:hint="eastAsia" w:asciiTheme="minorEastAsia" w:hAnsiTheme="minorEastAsia" w:eastAsiaTheme="minorEastAsia" w:cstheme="minorEastAsia"/>
          <w:snapToGrid/>
          <w:kern w:val="0"/>
          <w:sz w:val="32"/>
          <w:szCs w:val="32"/>
          <w:u w:val="none"/>
          <w:lang w:val="en-US" w:eastAsia="zh-CN"/>
        </w:rPr>
        <w:t>2</w:t>
      </w:r>
      <w:r>
        <w:rPr>
          <w:rFonts w:hint="eastAsia" w:ascii="Times New Roman" w:hAnsi="Times New Roman" w:eastAsia="方正仿宋_GBK" w:cs="Times New Roman"/>
          <w:snapToGrid/>
          <w:kern w:val="0"/>
          <w:sz w:val="32"/>
          <w:szCs w:val="32"/>
          <w:u w:val="none"/>
          <w:lang w:val="en-US" w:eastAsia="zh-CN"/>
        </w:rPr>
        <w:t>）。对于招生入学工作中的违规行为要及时向同级或上级纪检部门移交，依法依纪进行查处，填写《义务教育阳光招生专项行动违规招生行为查处登记表》（附件</w:t>
      </w:r>
      <w:r>
        <w:rPr>
          <w:rFonts w:hint="eastAsia" w:asciiTheme="minorEastAsia" w:hAnsiTheme="minorEastAsia" w:eastAsiaTheme="minorEastAsia" w:cstheme="minorEastAsia"/>
          <w:snapToGrid/>
          <w:kern w:val="0"/>
          <w:sz w:val="32"/>
          <w:szCs w:val="32"/>
          <w:u w:val="none"/>
          <w:lang w:val="en-US" w:eastAsia="zh-CN"/>
        </w:rPr>
        <w:t>3</w:t>
      </w:r>
      <w:r>
        <w:rPr>
          <w:rFonts w:hint="eastAsia" w:ascii="Times New Roman" w:hAnsi="Times New Roman" w:eastAsia="方正仿宋_GBK" w:cs="Times New Roman"/>
          <w:snapToGrid/>
          <w:kern w:val="0"/>
          <w:sz w:val="32"/>
          <w:szCs w:val="32"/>
          <w:u w:val="none"/>
          <w:lang w:val="en-US" w:eastAsia="zh-CN"/>
        </w:rPr>
        <w:t>）。于</w:t>
      </w:r>
      <w:r>
        <w:rPr>
          <w:rFonts w:hint="eastAsia" w:asciiTheme="minorEastAsia" w:hAnsiTheme="minorEastAsia" w:eastAsiaTheme="minorEastAsia" w:cstheme="minorEastAsia"/>
          <w:snapToGrid/>
          <w:kern w:val="0"/>
          <w:sz w:val="32"/>
          <w:szCs w:val="32"/>
          <w:u w:val="none"/>
          <w:lang w:val="en-US" w:eastAsia="zh-CN"/>
        </w:rPr>
        <w:t>2024</w:t>
      </w:r>
      <w:r>
        <w:rPr>
          <w:rFonts w:hint="eastAsia" w:ascii="Times New Roman" w:hAnsi="Times New Roman" w:eastAsia="方正仿宋_GBK" w:cs="Times New Roman"/>
          <w:snapToGrid/>
          <w:kern w:val="0"/>
          <w:sz w:val="32"/>
          <w:szCs w:val="32"/>
          <w:u w:val="none"/>
          <w:lang w:val="en-US" w:eastAsia="zh-CN"/>
        </w:rPr>
        <w:t>年</w:t>
      </w:r>
      <w:r>
        <w:rPr>
          <w:rFonts w:hint="eastAsia" w:asciiTheme="minorEastAsia" w:hAnsiTheme="minorEastAsia" w:eastAsiaTheme="minorEastAsia" w:cstheme="minorEastAsia"/>
          <w:snapToGrid/>
          <w:kern w:val="0"/>
          <w:sz w:val="32"/>
          <w:szCs w:val="32"/>
          <w:u w:val="none"/>
          <w:lang w:val="en-US" w:eastAsia="zh-CN"/>
        </w:rPr>
        <w:t>7</w:t>
      </w:r>
      <w:r>
        <w:rPr>
          <w:rFonts w:hint="eastAsia" w:ascii="Times New Roman" w:hAnsi="Times New Roman" w:eastAsia="方正仿宋_GBK" w:cs="Times New Roman"/>
          <w:snapToGrid/>
          <w:kern w:val="0"/>
          <w:sz w:val="32"/>
          <w:szCs w:val="32"/>
          <w:u w:val="none"/>
          <w:lang w:val="en-US" w:eastAsia="zh-CN"/>
        </w:rPr>
        <w:t>月</w:t>
      </w:r>
      <w:r>
        <w:rPr>
          <w:rFonts w:hint="eastAsia" w:asciiTheme="minorEastAsia" w:hAnsiTheme="minorEastAsia" w:eastAsiaTheme="minorEastAsia" w:cstheme="minorEastAsia"/>
          <w:snapToGrid/>
          <w:kern w:val="0"/>
          <w:sz w:val="32"/>
          <w:szCs w:val="32"/>
          <w:u w:val="none"/>
          <w:lang w:val="en-US" w:eastAsia="zh-CN"/>
        </w:rPr>
        <w:t>25</w:t>
      </w:r>
      <w:r>
        <w:rPr>
          <w:rFonts w:hint="eastAsia" w:ascii="Times New Roman" w:hAnsi="Times New Roman" w:eastAsia="方正仿宋_GBK" w:cs="Times New Roman"/>
          <w:snapToGrid/>
          <w:kern w:val="0"/>
          <w:sz w:val="32"/>
          <w:szCs w:val="32"/>
          <w:u w:val="none"/>
          <w:lang w:val="en-US" w:eastAsia="zh-CN"/>
        </w:rPr>
        <w:t>日前将《义务教育阳光招生专项行动对照检查表》《招生入学工作问题线索管理台账》《义务教育阳光招生专项行动违规招生行为查处登记表》报州教育局教育科。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（二）州级复查。</w:t>
      </w:r>
      <w:r>
        <w:rPr>
          <w:rFonts w:hint="eastAsia" w:asciiTheme="minorEastAsia" w:hAnsiTheme="minorEastAsia" w:eastAsiaTheme="minorEastAsia" w:cstheme="minorEastAsia"/>
          <w:snapToGrid/>
          <w:kern w:val="0"/>
          <w:sz w:val="32"/>
          <w:szCs w:val="32"/>
          <w:u w:val="none"/>
          <w:lang w:val="en-US" w:eastAsia="zh-CN"/>
        </w:rPr>
        <w:t>7</w:t>
      </w:r>
      <w:r>
        <w:rPr>
          <w:rFonts w:hint="eastAsia" w:ascii="Times New Roman" w:hAnsi="Times New Roman" w:eastAsia="方正仿宋_GBK" w:cs="Times New Roman"/>
          <w:snapToGrid/>
          <w:kern w:val="0"/>
          <w:sz w:val="32"/>
          <w:szCs w:val="32"/>
          <w:u w:val="none"/>
          <w:lang w:val="en-US" w:eastAsia="zh-CN"/>
        </w:rPr>
        <w:t>月</w:t>
      </w:r>
      <w:r>
        <w:rPr>
          <w:rFonts w:hint="default" w:ascii="Times New Roman" w:hAnsi="Times New Roman" w:eastAsia="仿宋_GB2312" w:cs="Times New Roman"/>
          <w:b w:val="0"/>
          <w:bCs w:val="0"/>
          <w:sz w:val="32"/>
          <w:szCs w:val="32"/>
          <w:u w:val="none"/>
          <w:lang w:val="en-US" w:eastAsia="zh-CN"/>
        </w:rPr>
        <w:t>—</w:t>
      </w:r>
      <w:r>
        <w:rPr>
          <w:rFonts w:hint="eastAsia" w:asciiTheme="minorEastAsia" w:hAnsiTheme="minorEastAsia" w:eastAsiaTheme="minorEastAsia" w:cstheme="minorEastAsia"/>
          <w:snapToGrid/>
          <w:kern w:val="0"/>
          <w:sz w:val="32"/>
          <w:szCs w:val="32"/>
          <w:u w:val="none"/>
          <w:lang w:val="en-US" w:eastAsia="zh-CN"/>
        </w:rPr>
        <w:t>8</w:t>
      </w:r>
      <w:r>
        <w:rPr>
          <w:rFonts w:hint="eastAsia" w:ascii="Times New Roman" w:hAnsi="Times New Roman" w:eastAsia="方正仿宋_GBK" w:cs="Times New Roman"/>
          <w:snapToGrid/>
          <w:kern w:val="0"/>
          <w:sz w:val="32"/>
          <w:szCs w:val="32"/>
          <w:u w:val="none"/>
          <w:lang w:val="en-US" w:eastAsia="zh-CN"/>
        </w:rPr>
        <w:t>月，州教育局要将督导检查贯穿始终，在招生季派出督导组开展专项督导检查，组织各县（市）开展交叉互检，深入查找问题和漏洞。对自查自纠和督导检查发现问题线索，列出整改计划，落实整改措施，明确整改的安排、时限和责任，加强跟踪督促，并适时对各县（市）问题整改情况进行“回头看”，确保整改到位。针对专项检查督导过程中发现的普遍性、突出性以及监管方面存在的问题进行梳理，出台完善相应规章制度，切实堵塞漏洞，把招生入学的制度笼子扎紧扎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napToGrid/>
          <w:kern w:val="2"/>
          <w:sz w:val="32"/>
          <w:szCs w:val="32"/>
          <w:u w:val="none"/>
          <w:lang w:val="en-US" w:eastAsia="zh-CN"/>
        </w:rPr>
      </w:pPr>
      <w:r>
        <w:rPr>
          <w:rFonts w:hint="eastAsia" w:ascii="黑体" w:hAnsi="黑体" w:eastAsia="黑体" w:cs="黑体"/>
          <w:b w:val="0"/>
          <w:bCs w:val="0"/>
          <w:snapToGrid/>
          <w:kern w:val="2"/>
          <w:sz w:val="32"/>
          <w:szCs w:val="32"/>
          <w:u w:val="none"/>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（一）强化组织领导。</w:t>
      </w:r>
      <w:r>
        <w:rPr>
          <w:rFonts w:hint="eastAsia" w:ascii="Times New Roman" w:hAnsi="Times New Roman" w:eastAsia="方正仿宋_GBK" w:cs="Times New Roman"/>
          <w:snapToGrid/>
          <w:kern w:val="0"/>
          <w:sz w:val="32"/>
          <w:szCs w:val="32"/>
          <w:u w:val="none"/>
          <w:lang w:val="en-US" w:eastAsia="zh-CN"/>
        </w:rPr>
        <w:t>中小学招生入学工作是国家关心、群众关切、社会关注的重大民生工作，县（市）教育主管部门要切实提高政治站位，将专项行动作为解决人民群众急难愁盼的重要事项，进行专题研究和统筹部署。成立由有关科室、县（市）教育主管部门人员、督学、人大代表、政协委员等组成的工作专班，加强对招生入学工作全过程监管和工作指导。县（市）教育主管部门要进一步提高思想认识，要聚焦“主线”发力，积极适应城市建设“四大行动”、三孩政策和实现教育现代化、实施乡村振兴战略发展需要，切实履行本辖区义务教育招生入学工作主体责任，迅速动员，真抓实干，确保工作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（二）细化工作安排。</w:t>
      </w:r>
      <w:r>
        <w:rPr>
          <w:rFonts w:hint="eastAsia" w:ascii="Times New Roman" w:hAnsi="Times New Roman" w:eastAsia="方正仿宋_GBK" w:cs="Times New Roman"/>
          <w:snapToGrid/>
          <w:kern w:val="0"/>
          <w:sz w:val="32"/>
          <w:szCs w:val="32"/>
          <w:u w:val="none"/>
          <w:lang w:val="en-US" w:eastAsia="zh-CN"/>
        </w:rPr>
        <w:t>县（市）教育主管部门要细化工作安排，明确各级单位和领导干部责任，明确分工，责任到人，制定本辖区专项行动实施方案并进行工作部署。根据专项行动重点任务，对辖区内中小学校招生政策开展全面排查，常态化开展督导检查和自查自纠，有针对性地调整完善相关政策并部署年度招生工作，开展招生行为全过程检查，并建立工作台账。</w:t>
      </w:r>
      <w:r>
        <w:rPr>
          <w:rFonts w:hint="eastAsia" w:asciiTheme="minorEastAsia" w:hAnsiTheme="minorEastAsia" w:eastAsiaTheme="minorEastAsia" w:cstheme="minorEastAsia"/>
          <w:snapToGrid/>
          <w:kern w:val="0"/>
          <w:sz w:val="32"/>
          <w:szCs w:val="32"/>
          <w:u w:val="none"/>
          <w:lang w:val="en-US" w:eastAsia="zh-CN"/>
        </w:rPr>
        <w:t>6</w:t>
      </w:r>
      <w:r>
        <w:rPr>
          <w:rFonts w:hint="eastAsia" w:ascii="Times New Roman" w:hAnsi="Times New Roman" w:eastAsia="方正仿宋_GBK" w:cs="Times New Roman"/>
          <w:snapToGrid/>
          <w:kern w:val="0"/>
          <w:sz w:val="32"/>
          <w:szCs w:val="32"/>
          <w:u w:val="none"/>
          <w:lang w:val="en-US" w:eastAsia="zh-CN"/>
        </w:rPr>
        <w:t>月</w:t>
      </w:r>
      <w:r>
        <w:rPr>
          <w:rFonts w:hint="eastAsia" w:asciiTheme="minorEastAsia" w:hAnsiTheme="minorEastAsia" w:eastAsiaTheme="minorEastAsia" w:cstheme="minorEastAsia"/>
          <w:snapToGrid/>
          <w:kern w:val="0"/>
          <w:sz w:val="32"/>
          <w:szCs w:val="32"/>
          <w:u w:val="none"/>
          <w:lang w:val="en-US" w:eastAsia="zh-CN"/>
        </w:rPr>
        <w:t>25</w:t>
      </w:r>
      <w:r>
        <w:rPr>
          <w:rFonts w:hint="eastAsia" w:ascii="Times New Roman" w:hAnsi="Times New Roman" w:eastAsia="方正仿宋_GBK" w:cs="Times New Roman"/>
          <w:snapToGrid/>
          <w:kern w:val="0"/>
          <w:sz w:val="32"/>
          <w:szCs w:val="32"/>
          <w:u w:val="none"/>
          <w:lang w:val="en-US" w:eastAsia="zh-CN"/>
        </w:rPr>
        <w:t>日前，将本地专项行动实施方案报州教育局。</w:t>
      </w:r>
      <w:r>
        <w:rPr>
          <w:rFonts w:hint="eastAsia" w:asciiTheme="minorEastAsia" w:hAnsiTheme="minorEastAsia" w:eastAsiaTheme="minorEastAsia" w:cstheme="minorEastAsia"/>
          <w:snapToGrid/>
          <w:kern w:val="0"/>
          <w:sz w:val="32"/>
          <w:szCs w:val="32"/>
          <w:u w:val="none"/>
          <w:lang w:val="en-US" w:eastAsia="zh-CN"/>
        </w:rPr>
        <w:t>10</w:t>
      </w:r>
      <w:r>
        <w:rPr>
          <w:rFonts w:hint="eastAsia" w:ascii="Times New Roman" w:hAnsi="Times New Roman" w:eastAsia="方正仿宋_GBK" w:cs="Times New Roman"/>
          <w:snapToGrid/>
          <w:kern w:val="0"/>
          <w:sz w:val="32"/>
          <w:szCs w:val="32"/>
          <w:u w:val="none"/>
          <w:lang w:val="en-US" w:eastAsia="zh-CN"/>
        </w:rPr>
        <w:t>月</w:t>
      </w:r>
      <w:r>
        <w:rPr>
          <w:rFonts w:hint="eastAsia" w:asciiTheme="minorEastAsia" w:hAnsiTheme="minorEastAsia" w:eastAsiaTheme="minorEastAsia" w:cstheme="minorEastAsia"/>
          <w:snapToGrid/>
          <w:kern w:val="0"/>
          <w:sz w:val="32"/>
          <w:szCs w:val="32"/>
          <w:u w:val="none"/>
          <w:lang w:val="en-US" w:eastAsia="zh-CN"/>
        </w:rPr>
        <w:t>25</w:t>
      </w:r>
      <w:r>
        <w:rPr>
          <w:rFonts w:hint="eastAsia" w:ascii="Times New Roman" w:hAnsi="Times New Roman" w:eastAsia="方正仿宋_GBK" w:cs="Times New Roman"/>
          <w:snapToGrid/>
          <w:kern w:val="0"/>
          <w:sz w:val="32"/>
          <w:szCs w:val="32"/>
          <w:u w:val="none"/>
          <w:lang w:val="en-US" w:eastAsia="zh-CN"/>
        </w:rPr>
        <w:t>日前，全面总结</w:t>
      </w:r>
      <w:r>
        <w:rPr>
          <w:rFonts w:hint="eastAsia" w:asciiTheme="minorEastAsia" w:hAnsiTheme="minorEastAsia" w:eastAsiaTheme="minorEastAsia" w:cstheme="minorEastAsia"/>
          <w:snapToGrid/>
          <w:kern w:val="0"/>
          <w:sz w:val="32"/>
          <w:szCs w:val="32"/>
          <w:u w:val="none"/>
          <w:lang w:val="en-US" w:eastAsia="zh-CN"/>
        </w:rPr>
        <w:t>2024</w:t>
      </w:r>
      <w:r>
        <w:rPr>
          <w:rFonts w:hint="eastAsia" w:ascii="Times New Roman" w:hAnsi="Times New Roman" w:eastAsia="方正仿宋_GBK" w:cs="Times New Roman"/>
          <w:snapToGrid/>
          <w:kern w:val="0"/>
          <w:sz w:val="32"/>
          <w:szCs w:val="32"/>
          <w:u w:val="none"/>
          <w:lang w:val="en-US" w:eastAsia="zh-CN"/>
        </w:rPr>
        <w:t>年专项工作开展情况并报送总结材料。针对普遍性根源性问题，坚持对症下药、建章立制、治标治本。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（三）加强宣传引导。</w:t>
      </w:r>
      <w:r>
        <w:rPr>
          <w:rFonts w:hint="eastAsia" w:ascii="Times New Roman" w:hAnsi="Times New Roman" w:eastAsia="方正仿宋_GBK" w:cs="Times New Roman"/>
          <w:snapToGrid/>
          <w:kern w:val="0"/>
          <w:sz w:val="32"/>
          <w:szCs w:val="32"/>
          <w:u w:val="none"/>
          <w:lang w:val="en-US" w:eastAsia="zh-CN"/>
        </w:rPr>
        <w:t>各县（市）教育主管部门和学校要通过官方网站、微信公众号、主流媒体以及政策宣讲等方式向广大家长进行政策解读和宣传引导，及时、主动、准确、全面做好招生入学核心政策和群众关心政策的宣传释疑工作，层层建立专门的义务教育招生入学咨询、反映热线，公布咨询、举报电话，畅通招生问题线索反映渠道，积极主动做好舆情应对工作，及时发现并妥善处置相关舆情。对不实招生信息要主动发声、及时辟谣、释疑解惑，回应人民群众关切。在出台群众关心的招生入学政策和重大改革措施时，要按照有关程序做好意见征集，加强风险评估，切实做好宣传，引导合理预期，积极宣传推广招生工作典型经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napToGrid/>
          <w:kern w:val="0"/>
          <w:sz w:val="32"/>
          <w:szCs w:val="32"/>
          <w:u w:val="none"/>
          <w:lang w:val="en-US" w:eastAsia="zh-CN"/>
        </w:rPr>
      </w:pPr>
      <w:r>
        <w:rPr>
          <w:rFonts w:hint="eastAsia" w:ascii="楷体_GB2312" w:hAnsi="楷体_GB2312" w:eastAsia="楷体_GB2312" w:cs="楷体_GB2312"/>
          <w:b w:val="0"/>
          <w:bCs w:val="0"/>
          <w:snapToGrid/>
          <w:kern w:val="2"/>
          <w:sz w:val="32"/>
          <w:szCs w:val="32"/>
          <w:u w:val="none"/>
          <w:lang w:val="en-US" w:eastAsia="zh-CN"/>
        </w:rPr>
        <w:t>（四）严肃追究问责。</w:t>
      </w:r>
      <w:r>
        <w:rPr>
          <w:rFonts w:hint="eastAsia" w:ascii="Times New Roman" w:hAnsi="Times New Roman" w:eastAsia="方正仿宋_GBK" w:cs="Times New Roman"/>
          <w:snapToGrid/>
          <w:kern w:val="0"/>
          <w:sz w:val="32"/>
          <w:szCs w:val="32"/>
          <w:u w:val="none"/>
          <w:lang w:val="en-US" w:eastAsia="zh-CN"/>
        </w:rPr>
        <w:t>各县（市）教育主管部门要切实加强对中小学招生工作的监管。加强对问题频发、舆情较多的学校的指导督促，对违规招生行为，发现一起查处一起，严肃追究有关责任人的责任。要及时通报违规行为和查处情况，对招生工作中有令不行、有禁不止，顶风违规违纪的行为，依据有关纪法条规予以严肃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监督举报电话：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Theme="minorEastAsia" w:hAnsiTheme="minorEastAsia" w:eastAsiaTheme="minorEastAsia" w:cstheme="minorEastAsia"/>
          <w:sz w:val="32"/>
          <w:szCs w:val="32"/>
          <w:lang w:val="en-US" w:eastAsia="zh-CN"/>
        </w:rPr>
        <w:t>0908</w:t>
      </w: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7625037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咨询答疑电话：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克州教育局</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Theme="minorEastAsia" w:hAnsiTheme="minorEastAsia" w:eastAsiaTheme="minorEastAsia" w:cstheme="minorEastAsia"/>
          <w:sz w:val="32"/>
          <w:szCs w:val="32"/>
        </w:rPr>
        <w:t>0908</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t>7625100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阿图什市教育局</w:t>
      </w:r>
      <w:r>
        <w:rPr>
          <w:rFonts w:hint="eastAsia" w:ascii="仿宋" w:hAnsi="仿宋" w:eastAsia="仿宋" w:cs="仿宋"/>
          <w:sz w:val="32"/>
          <w:szCs w:val="32"/>
          <w:lang w:val="en-US" w:eastAsia="zh-CN"/>
        </w:rPr>
        <w:t xml:space="preserve"> </w:t>
      </w:r>
      <w:r>
        <w:rPr>
          <w:rFonts w:hint="eastAsia" w:asciiTheme="minorEastAsia" w:hAnsiTheme="minorEastAsia" w:eastAsiaTheme="minorEastAsia" w:cstheme="minorEastAsia"/>
          <w:sz w:val="32"/>
          <w:szCs w:val="32"/>
        </w:rPr>
        <w:t>0908</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t>4223232</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t>4223233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阿克陶县教育局</w:t>
      </w:r>
      <w:r>
        <w:rPr>
          <w:rFonts w:hint="eastAsia" w:ascii="仿宋" w:hAnsi="仿宋" w:eastAsia="仿宋" w:cs="仿宋"/>
          <w:sz w:val="32"/>
          <w:szCs w:val="32"/>
        </w:rPr>
        <w:tab/>
      </w:r>
      <w:r>
        <w:rPr>
          <w:rFonts w:hint="eastAsia" w:asciiTheme="minorEastAsia" w:hAnsiTheme="minorEastAsia" w:eastAsiaTheme="minorEastAsia" w:cstheme="minorEastAsia"/>
          <w:sz w:val="32"/>
          <w:szCs w:val="32"/>
        </w:rPr>
        <w:t>0908</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t>5727021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乌恰县</w:t>
      </w:r>
      <w:r>
        <w:rPr>
          <w:rFonts w:hint="eastAsia" w:ascii="仿宋" w:hAnsi="仿宋" w:eastAsia="仿宋" w:cs="仿宋"/>
          <w:sz w:val="32"/>
          <w:szCs w:val="32"/>
          <w:lang w:val="en-US" w:eastAsia="zh-CN"/>
        </w:rPr>
        <w:t>教育</w:t>
      </w:r>
      <w:r>
        <w:rPr>
          <w:rFonts w:hint="eastAsia" w:ascii="仿宋" w:hAnsi="仿宋" w:eastAsia="仿宋" w:cs="仿宋"/>
          <w:sz w:val="32"/>
          <w:szCs w:val="32"/>
        </w:rPr>
        <w:t>局</w:t>
      </w:r>
      <w:r>
        <w:rPr>
          <w:rFonts w:hint="eastAsia" w:ascii="仿宋" w:hAnsi="仿宋" w:eastAsia="仿宋" w:cs="仿宋"/>
          <w:sz w:val="32"/>
          <w:szCs w:val="32"/>
        </w:rPr>
        <w:tab/>
      </w:r>
      <w:r>
        <w:rPr>
          <w:rFonts w:hint="eastAsia" w:asciiTheme="minorEastAsia" w:hAnsiTheme="minorEastAsia" w:eastAsiaTheme="minorEastAsia" w:cstheme="minorEastAsia"/>
          <w:sz w:val="32"/>
          <w:szCs w:val="32"/>
        </w:rPr>
        <w:t>0908</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t>4611</w:t>
      </w:r>
      <w:r>
        <w:rPr>
          <w:rFonts w:hint="eastAsia" w:asciiTheme="minorEastAsia" w:hAnsiTheme="minorEastAsia" w:eastAsiaTheme="minorEastAsia" w:cstheme="minorEastAsia"/>
          <w:sz w:val="32"/>
          <w:szCs w:val="32"/>
          <w:lang w:val="en-US" w:eastAsia="zh-CN"/>
        </w:rPr>
        <w:t>657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阿合奇县教科局</w:t>
      </w:r>
      <w:r>
        <w:rPr>
          <w:rFonts w:hint="eastAsia" w:ascii="仿宋" w:hAnsi="仿宋" w:eastAsia="仿宋" w:cs="仿宋"/>
          <w:sz w:val="32"/>
          <w:szCs w:val="32"/>
        </w:rPr>
        <w:tab/>
      </w:r>
      <w:r>
        <w:rPr>
          <w:rFonts w:hint="eastAsia" w:asciiTheme="minorEastAsia" w:hAnsiTheme="minorEastAsia" w:eastAsiaTheme="minorEastAsia" w:cstheme="minorEastAsia"/>
          <w:sz w:val="32"/>
          <w:szCs w:val="32"/>
        </w:rPr>
        <w:t>0908</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t>7656016</w:t>
      </w:r>
    </w:p>
    <w:p>
      <w:pPr>
        <w:pStyle w:val="3"/>
        <w:rPr>
          <w:rFonts w:hint="eastAsia" w:ascii="Times New Roman" w:hAnsi="Times New Roman" w:eastAsia="方正仿宋_GBK" w:cs="Times New Roman"/>
          <w:snapToGrid/>
          <w:kern w:val="0"/>
          <w:sz w:val="32"/>
          <w:szCs w:val="32"/>
          <w:u w:val="none"/>
          <w:lang w:val="en-US" w:eastAsia="zh-CN"/>
        </w:rPr>
      </w:pPr>
    </w:p>
    <w:p>
      <w:pPr>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方正仿宋_GBK" w:cs="Times New Roman"/>
          <w:b w:val="0"/>
          <w:bCs w:val="0"/>
          <w:snapToGrid w:val="0"/>
          <w:kern w:val="0"/>
          <w:sz w:val="32"/>
          <w:szCs w:val="32"/>
          <w:u w:val="none"/>
          <w:lang w:val="en-US" w:eastAsia="zh-CN"/>
        </w:rPr>
      </w:pPr>
      <w:r>
        <w:rPr>
          <w:rFonts w:hint="eastAsia" w:ascii="Times New Roman" w:hAnsi="Times New Roman" w:eastAsia="方正仿宋_GBK" w:cs="Times New Roman"/>
          <w:b w:val="0"/>
          <w:bCs w:val="0"/>
          <w:snapToGrid w:val="0"/>
          <w:kern w:val="0"/>
          <w:sz w:val="32"/>
          <w:szCs w:val="32"/>
          <w:u w:val="none"/>
          <w:lang w:val="en-US" w:eastAsia="zh-CN"/>
        </w:rPr>
        <w:t>附件：</w:t>
      </w:r>
      <w:r>
        <w:rPr>
          <w:rFonts w:hint="eastAsia" w:asciiTheme="minorEastAsia" w:hAnsiTheme="minorEastAsia" w:eastAsiaTheme="minorEastAsia" w:cstheme="minorEastAsia"/>
          <w:b w:val="0"/>
          <w:bCs w:val="0"/>
          <w:snapToGrid w:val="0"/>
          <w:kern w:val="0"/>
          <w:sz w:val="32"/>
          <w:szCs w:val="32"/>
          <w:u w:val="none"/>
          <w:lang w:val="en-US" w:eastAsia="zh-CN"/>
        </w:rPr>
        <w:t>1</w:t>
      </w:r>
      <w:r>
        <w:rPr>
          <w:rFonts w:hint="eastAsia" w:ascii="Times New Roman" w:hAnsi="Times New Roman" w:eastAsia="方正仿宋_GBK" w:cs="Times New Roman"/>
          <w:b w:val="0"/>
          <w:bCs w:val="0"/>
          <w:snapToGrid w:val="0"/>
          <w:kern w:val="0"/>
          <w:sz w:val="32"/>
          <w:szCs w:val="32"/>
          <w:u w:val="none"/>
          <w:lang w:val="en-US" w:eastAsia="zh-CN"/>
        </w:rPr>
        <w:t>.义务教育阳光招生专项行动对照检查表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s="Times New Roman"/>
          <w:b w:val="0"/>
          <w:bCs w:val="0"/>
          <w:color w:val="000000"/>
          <w:w w:val="95"/>
          <w:sz w:val="32"/>
          <w:szCs w:val="32"/>
          <w:u w:val="none"/>
          <w:lang w:val="en-US" w:eastAsia="zh-CN"/>
        </w:rPr>
      </w:pPr>
      <w:r>
        <w:rPr>
          <w:rFonts w:hint="eastAsia" w:asciiTheme="minorEastAsia" w:hAnsiTheme="minorEastAsia" w:eastAsiaTheme="minorEastAsia" w:cstheme="minorEastAsia"/>
          <w:b w:val="0"/>
          <w:bCs w:val="0"/>
          <w:color w:val="auto"/>
          <w:kern w:val="2"/>
          <w:sz w:val="32"/>
          <w:szCs w:val="32"/>
          <w:u w:val="none"/>
          <w:lang w:val="en-US" w:eastAsia="zh-CN" w:bidi="ar-SA"/>
        </w:rPr>
        <w:t>2</w:t>
      </w:r>
      <w:r>
        <w:rPr>
          <w:rFonts w:hint="eastAsia" w:ascii="Times New Roman" w:hAnsi="Times New Roman" w:eastAsia="方正仿宋_GBK" w:cs="Times New Roman"/>
          <w:b w:val="0"/>
          <w:bCs w:val="0"/>
          <w:color w:val="auto"/>
          <w:kern w:val="2"/>
          <w:sz w:val="32"/>
          <w:szCs w:val="32"/>
          <w:u w:val="none"/>
          <w:lang w:val="en-US" w:eastAsia="zh-CN" w:bidi="ar-SA"/>
        </w:rPr>
        <w:t>.义务教育招生入学工作问题线索管理台账</w:t>
      </w:r>
      <w:r>
        <w:rPr>
          <w:rFonts w:hint="eastAsia" w:ascii="Times New Roman" w:hAnsi="Times New Roman" w:eastAsia="仿宋_GB2312" w:cs="Times New Roman"/>
          <w:b w:val="0"/>
          <w:bCs w:val="0"/>
          <w:color w:val="000000"/>
          <w:w w:val="95"/>
          <w:sz w:val="32"/>
          <w:szCs w:val="32"/>
          <w:u w:val="none"/>
          <w:lang w:val="en-US" w:eastAsia="zh-CN"/>
        </w:rPr>
        <w:t xml:space="preserve"> </w:t>
      </w:r>
    </w:p>
    <w:p>
      <w:pPr>
        <w:keepNext w:val="0"/>
        <w:keepLines w:val="0"/>
        <w:pageBreakBefore w:val="0"/>
        <w:widowControl w:val="0"/>
        <w:numPr>
          <w:ilvl w:val="0"/>
          <w:numId w:val="0"/>
        </w:numPr>
        <w:kinsoku/>
        <w:wordWrap/>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spacing w:val="-6"/>
          <w:kern w:val="2"/>
          <w:sz w:val="32"/>
          <w:szCs w:val="32"/>
          <w:u w:val="none"/>
          <w:lang w:val="en-US" w:eastAsia="zh-CN" w:bidi="ar-SA"/>
        </w:rPr>
      </w:pPr>
      <w:r>
        <w:rPr>
          <w:rFonts w:hint="eastAsia"/>
          <w:u w:val="none"/>
          <w:lang w:val="en-US" w:eastAsia="zh-CN"/>
        </w:rPr>
        <w:t xml:space="preserve">              </w:t>
      </w:r>
      <w:r>
        <w:rPr>
          <w:rFonts w:hint="eastAsia"/>
          <w:spacing w:val="-28"/>
          <w:u w:val="none"/>
          <w:lang w:val="en-US" w:eastAsia="zh-CN"/>
        </w:rPr>
        <w:t xml:space="preserve">  </w:t>
      </w:r>
      <w:r>
        <w:rPr>
          <w:rFonts w:hint="eastAsia" w:asciiTheme="minorEastAsia" w:hAnsiTheme="minorEastAsia" w:eastAsiaTheme="minorEastAsia" w:cstheme="minorEastAsia"/>
          <w:b w:val="0"/>
          <w:bCs w:val="0"/>
          <w:color w:val="auto"/>
          <w:spacing w:val="-28"/>
          <w:kern w:val="2"/>
          <w:sz w:val="32"/>
          <w:szCs w:val="32"/>
          <w:u w:val="none"/>
          <w:lang w:val="en-US" w:eastAsia="zh-CN" w:bidi="ar-SA"/>
        </w:rPr>
        <w:t>3</w:t>
      </w:r>
      <w:r>
        <w:rPr>
          <w:rFonts w:hint="eastAsia" w:ascii="Times New Roman" w:hAnsi="Times New Roman" w:eastAsia="方正仿宋_GBK" w:cs="Times New Roman"/>
          <w:b w:val="0"/>
          <w:bCs w:val="0"/>
          <w:color w:val="auto"/>
          <w:spacing w:val="-28"/>
          <w:kern w:val="2"/>
          <w:sz w:val="32"/>
          <w:szCs w:val="32"/>
          <w:u w:val="none"/>
          <w:lang w:val="en-US" w:eastAsia="zh-CN" w:bidi="ar-SA"/>
        </w:rPr>
        <w:t>.</w:t>
      </w:r>
      <w:r>
        <w:rPr>
          <w:rFonts w:hint="eastAsia" w:ascii="方正仿宋_GBK" w:hAnsi="方正仿宋_GBK" w:eastAsia="方正仿宋_GBK" w:cs="方正仿宋_GBK"/>
          <w:b w:val="0"/>
          <w:bCs w:val="0"/>
          <w:snapToGrid w:val="0"/>
          <w:spacing w:val="-23"/>
          <w:kern w:val="0"/>
          <w:sz w:val="32"/>
          <w:szCs w:val="32"/>
          <w:u w:val="none"/>
          <w:lang w:eastAsia="zh-CN"/>
        </w:rPr>
        <w:t>义务教育阳光招生专项行动违规招生行为查处登记表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w w:val="95"/>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 xml:space="preserve">      </w:t>
      </w:r>
    </w:p>
    <w:p>
      <w:pPr>
        <w:tabs>
          <w:tab w:val="left" w:pos="1401"/>
        </w:tabs>
        <w:spacing w:after="156" w:afterLines="50"/>
        <w:jc w:val="left"/>
        <w:rPr>
          <w:rFonts w:hint="eastAsia" w:ascii="Times New Roman" w:hAnsi="Times New Roman" w:eastAsia="仿宋_GB2312" w:cs="Times New Roman"/>
          <w:b w:val="0"/>
          <w:bCs w:val="0"/>
          <w:sz w:val="32"/>
          <w:szCs w:val="32"/>
          <w:u w:val="none"/>
          <w:lang w:val="en-US" w:eastAsia="zh-CN"/>
        </w:rPr>
        <w:sectPr>
          <w:footerReference r:id="rId3" w:type="default"/>
          <w:pgSz w:w="11906" w:h="16838"/>
          <w:pgMar w:top="2098" w:right="1417" w:bottom="1984" w:left="1417" w:header="851" w:footer="992" w:gutter="0"/>
          <w:pgNumType w:fmt="numberInDash"/>
          <w:cols w:space="425" w:num="1"/>
          <w:docGrid w:type="lines" w:linePitch="312" w:charSpace="0"/>
        </w:sectPr>
      </w:pPr>
    </w:p>
    <w:p>
      <w:pPr>
        <w:tabs>
          <w:tab w:val="left" w:pos="1401"/>
        </w:tabs>
        <w:spacing w:after="156" w:afterLines="50"/>
        <w:jc w:val="left"/>
        <w:rPr>
          <w:rFonts w:hint="default" w:ascii="Times New Roman" w:hAnsi="Times New Roman" w:eastAsia="黑体" w:cs="Times New Roman"/>
          <w:b w:val="0"/>
          <w:bCs w:val="0"/>
          <w:sz w:val="32"/>
          <w:szCs w:val="32"/>
          <w:u w:val="none"/>
          <w:lang w:val="en-US" w:eastAsia="zh-CN" w:bidi="ar"/>
        </w:rPr>
      </w:pPr>
      <w:r>
        <w:rPr>
          <w:rFonts w:hint="default" w:ascii="Times New Roman" w:hAnsi="Times New Roman" w:eastAsia="黑体" w:cs="Times New Roman"/>
          <w:b w:val="0"/>
          <w:bCs w:val="0"/>
          <w:sz w:val="32"/>
          <w:szCs w:val="32"/>
          <w:u w:val="none"/>
          <w:lang w:bidi="ar"/>
        </w:rPr>
        <w:t>附件</w:t>
      </w:r>
      <w:r>
        <w:rPr>
          <w:rFonts w:hint="eastAsia" w:asciiTheme="minorEastAsia" w:hAnsiTheme="minorEastAsia" w:eastAsiaTheme="minorEastAsia" w:cstheme="minorEastAsia"/>
          <w:b w:val="0"/>
          <w:bCs w:val="0"/>
          <w:sz w:val="32"/>
          <w:szCs w:val="32"/>
          <w:u w:val="none"/>
          <w:lang w:val="en-US" w:eastAsia="zh-CN" w:bidi="ar"/>
        </w:rPr>
        <w:t>1</w:t>
      </w:r>
    </w:p>
    <w:p>
      <w:pPr>
        <w:tabs>
          <w:tab w:val="left" w:pos="1401"/>
        </w:tabs>
        <w:spacing w:after="156" w:afterLines="50"/>
        <w:jc w:val="center"/>
        <w:rPr>
          <w:rFonts w:hint="eastAsia" w:ascii="Times New Roman" w:hAnsi="Times New Roman" w:eastAsia="方正小标宋_GBK" w:cs="Times New Roman"/>
          <w:b w:val="0"/>
          <w:bCs w:val="0"/>
          <w:kern w:val="2"/>
          <w:sz w:val="44"/>
          <w:szCs w:val="44"/>
          <w:u w:val="none"/>
          <w:lang w:val="en-US" w:eastAsia="zh-CN" w:bidi="ar-SA"/>
        </w:rPr>
      </w:pPr>
      <w:r>
        <w:rPr>
          <w:rFonts w:hint="eastAsia" w:ascii="Times New Roman" w:hAnsi="Times New Roman" w:eastAsia="方正小标宋_GBK" w:cs="Times New Roman"/>
          <w:b w:val="0"/>
          <w:bCs w:val="0"/>
          <w:kern w:val="2"/>
          <w:sz w:val="44"/>
          <w:szCs w:val="44"/>
          <w:u w:val="none"/>
          <w:lang w:val="en-US" w:eastAsia="zh-CN" w:bidi="ar-SA"/>
        </w:rPr>
        <w:t>义务教育阳光招生专项行动对照检查表</w:t>
      </w:r>
    </w:p>
    <w:p>
      <w:pPr>
        <w:pStyle w:val="8"/>
        <w:ind w:left="0" w:leftChars="0" w:firstLine="0" w:firstLineChars="0"/>
        <w:jc w:val="left"/>
        <w:rPr>
          <w:rFonts w:hint="eastAsia" w:ascii="方正仿宋_GBK" w:hAnsi="方正仿宋_GBK" w:eastAsia="方正仿宋_GBK" w:cs="方正仿宋_GBK"/>
          <w:b w:val="0"/>
          <w:bCs w:val="0"/>
          <w:sz w:val="32"/>
          <w:szCs w:val="32"/>
          <w:u w:val="none"/>
          <w:vertAlign w:val="baseline"/>
          <w:lang w:val="en-US" w:eastAsia="zh-CN"/>
        </w:rPr>
      </w:pPr>
      <w:r>
        <w:rPr>
          <w:rFonts w:hint="eastAsia" w:ascii="方正仿宋_GBK" w:hAnsi="方正仿宋_GBK" w:eastAsia="方正仿宋_GBK" w:cs="方正仿宋_GBK"/>
          <w:b w:val="0"/>
          <w:bCs w:val="0"/>
          <w:sz w:val="32"/>
          <w:szCs w:val="32"/>
          <w:u w:val="none"/>
          <w:lang w:val="en-US" w:eastAsia="zh-CN"/>
        </w:rPr>
        <w:t>县（市）教育局（签章）：          填报人：              联系电话：</w:t>
      </w:r>
    </w:p>
    <w:tbl>
      <w:tblPr>
        <w:tblStyle w:val="13"/>
        <w:tblW w:w="14145" w:type="dxa"/>
        <w:jc w:val="center"/>
        <w:tblInd w:w="0" w:type="dxa"/>
        <w:tblLayout w:type="fixed"/>
        <w:tblCellMar>
          <w:top w:w="0" w:type="dxa"/>
          <w:left w:w="0" w:type="dxa"/>
          <w:bottom w:w="0" w:type="dxa"/>
          <w:right w:w="0" w:type="dxa"/>
        </w:tblCellMar>
      </w:tblPr>
      <w:tblGrid>
        <w:gridCol w:w="708"/>
        <w:gridCol w:w="1168"/>
        <w:gridCol w:w="6739"/>
        <w:gridCol w:w="4554"/>
        <w:gridCol w:w="976"/>
      </w:tblGrid>
      <w:tr>
        <w:tblPrEx>
          <w:tblLayout w:type="fixed"/>
          <w:tblCellMar>
            <w:top w:w="0" w:type="dxa"/>
            <w:left w:w="0" w:type="dxa"/>
            <w:bottom w:w="0" w:type="dxa"/>
            <w:right w:w="0" w:type="dxa"/>
          </w:tblCellMar>
        </w:tblPrEx>
        <w:trPr>
          <w:trHeight w:val="357" w:hRule="exact"/>
          <w:tblHeader/>
          <w:jc w:val="center"/>
        </w:trPr>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12" w:lineRule="auto"/>
              <w:jc w:val="center"/>
              <w:textAlignment w:val="center"/>
              <w:rPr>
                <w:rFonts w:hint="eastAsia" w:ascii="Times New Roman" w:hAnsi="Times New Roman" w:eastAsia="仿宋_GB2312"/>
                <w:b/>
                <w:bCs/>
                <w:sz w:val="24"/>
                <w:u w:val="none"/>
                <w:lang w:eastAsia="zh-CN"/>
              </w:rPr>
            </w:pPr>
            <w:r>
              <w:rPr>
                <w:rFonts w:hint="eastAsia" w:ascii="Times New Roman" w:hAnsi="Times New Roman" w:eastAsia="仿宋_GB2312"/>
                <w:b/>
                <w:bCs/>
                <w:kern w:val="0"/>
                <w:sz w:val="24"/>
                <w:u w:val="none"/>
                <w:lang w:eastAsia="zh-CN" w:bidi="ar"/>
              </w:rPr>
              <w:t>序号</w:t>
            </w:r>
          </w:p>
        </w:tc>
        <w:tc>
          <w:tcPr>
            <w:tcW w:w="1168" w:type="dxa"/>
            <w:tcBorders>
              <w:top w:val="single" w:color="auto" w:sz="4" w:space="0"/>
              <w:left w:val="single" w:color="auto" w:sz="4" w:space="0"/>
              <w:bottom w:val="single" w:color="auto" w:sz="4" w:space="0"/>
              <w:right w:val="single" w:color="auto" w:sz="4" w:space="0"/>
            </w:tcBorders>
            <w:vAlign w:val="top"/>
          </w:tcPr>
          <w:p>
            <w:pPr>
              <w:widowControl/>
              <w:spacing w:line="312" w:lineRule="auto"/>
              <w:jc w:val="center"/>
              <w:textAlignment w:val="center"/>
              <w:rPr>
                <w:rFonts w:hint="eastAsia" w:ascii="Times New Roman" w:hAnsi="Times New Roman" w:eastAsia="仿宋_GB2312"/>
                <w:b/>
                <w:bCs/>
                <w:kern w:val="0"/>
                <w:sz w:val="24"/>
                <w:u w:val="none"/>
                <w:lang w:eastAsia="zh-CN" w:bidi="ar"/>
              </w:rPr>
            </w:pPr>
            <w:r>
              <w:rPr>
                <w:rFonts w:hint="eastAsia" w:ascii="Times New Roman" w:hAnsi="Times New Roman" w:eastAsia="仿宋_GB2312"/>
                <w:b/>
                <w:bCs/>
                <w:kern w:val="0"/>
                <w:sz w:val="24"/>
                <w:u w:val="none"/>
                <w:lang w:eastAsia="zh-CN" w:bidi="ar"/>
              </w:rPr>
              <w:t>重点任务</w:t>
            </w:r>
          </w:p>
        </w:tc>
        <w:tc>
          <w:tcPr>
            <w:tcW w:w="6739" w:type="dxa"/>
            <w:tcBorders>
              <w:top w:val="single" w:color="auto" w:sz="4" w:space="0"/>
              <w:left w:val="single" w:color="auto" w:sz="4" w:space="0"/>
              <w:bottom w:val="single" w:color="auto" w:sz="4" w:space="0"/>
              <w:right w:val="single" w:color="auto" w:sz="4" w:space="0"/>
            </w:tcBorders>
            <w:vAlign w:val="top"/>
          </w:tcPr>
          <w:p>
            <w:pPr>
              <w:widowControl/>
              <w:spacing w:line="312" w:lineRule="auto"/>
              <w:jc w:val="center"/>
              <w:textAlignment w:val="center"/>
              <w:rPr>
                <w:rFonts w:hint="eastAsia" w:ascii="Times New Roman" w:hAnsi="Times New Roman" w:eastAsia="仿宋_GB2312"/>
                <w:b/>
                <w:bCs/>
                <w:kern w:val="0"/>
                <w:sz w:val="24"/>
                <w:u w:val="none"/>
                <w:lang w:eastAsia="zh-CN" w:bidi="ar"/>
              </w:rPr>
            </w:pPr>
            <w:r>
              <w:rPr>
                <w:rFonts w:hint="eastAsia" w:ascii="Times New Roman" w:hAnsi="Times New Roman" w:eastAsia="仿宋_GB2312"/>
                <w:b/>
                <w:bCs/>
                <w:kern w:val="0"/>
                <w:sz w:val="24"/>
                <w:u w:val="none"/>
                <w:lang w:eastAsia="zh-CN" w:bidi="ar"/>
              </w:rPr>
              <w:t>重点任务排查项目</w:t>
            </w:r>
          </w:p>
        </w:tc>
        <w:tc>
          <w:tcPr>
            <w:tcW w:w="4554" w:type="dxa"/>
            <w:tcBorders>
              <w:top w:val="single" w:color="auto" w:sz="4" w:space="0"/>
              <w:left w:val="single" w:color="auto" w:sz="4" w:space="0"/>
              <w:bottom w:val="single" w:color="auto" w:sz="4" w:space="0"/>
              <w:right w:val="single" w:color="auto" w:sz="4" w:space="0"/>
            </w:tcBorders>
            <w:vAlign w:val="top"/>
          </w:tcPr>
          <w:p>
            <w:pPr>
              <w:widowControl/>
              <w:spacing w:line="312" w:lineRule="auto"/>
              <w:jc w:val="center"/>
              <w:textAlignment w:val="center"/>
              <w:rPr>
                <w:rFonts w:hint="eastAsia" w:ascii="Times New Roman" w:hAnsi="Times New Roman" w:eastAsia="仿宋_GB2312"/>
                <w:b/>
                <w:bCs/>
                <w:kern w:val="0"/>
                <w:sz w:val="22"/>
                <w:szCs w:val="22"/>
                <w:u w:val="none"/>
                <w:lang w:eastAsia="zh-CN" w:bidi="ar"/>
              </w:rPr>
            </w:pPr>
            <w:r>
              <w:rPr>
                <w:rFonts w:hint="eastAsia" w:ascii="Times New Roman" w:hAnsi="Times New Roman" w:eastAsia="仿宋_GB2312"/>
                <w:b/>
                <w:bCs/>
                <w:kern w:val="0"/>
                <w:sz w:val="22"/>
                <w:szCs w:val="22"/>
                <w:u w:val="none"/>
                <w:lang w:eastAsia="zh-CN" w:bidi="ar"/>
              </w:rPr>
              <w:t>落实举措（简要填写印发文件或政策执行情况）</w:t>
            </w:r>
          </w:p>
        </w:tc>
        <w:tc>
          <w:tcPr>
            <w:tcW w:w="976" w:type="dxa"/>
            <w:tcBorders>
              <w:top w:val="single" w:color="auto" w:sz="4" w:space="0"/>
              <w:left w:val="single" w:color="auto" w:sz="4" w:space="0"/>
              <w:bottom w:val="single" w:color="auto" w:sz="4" w:space="0"/>
              <w:right w:val="single" w:color="auto" w:sz="4" w:space="0"/>
            </w:tcBorders>
            <w:vAlign w:val="top"/>
          </w:tcPr>
          <w:p>
            <w:pPr>
              <w:widowControl/>
              <w:spacing w:line="312" w:lineRule="auto"/>
              <w:jc w:val="center"/>
              <w:textAlignment w:val="center"/>
              <w:rPr>
                <w:rFonts w:hint="eastAsia" w:ascii="Times New Roman" w:hAnsi="Times New Roman" w:eastAsia="仿宋_GB2312"/>
                <w:b/>
                <w:bCs/>
                <w:kern w:val="0"/>
                <w:sz w:val="22"/>
                <w:szCs w:val="22"/>
                <w:u w:val="none"/>
                <w:lang w:eastAsia="zh-CN" w:bidi="ar"/>
              </w:rPr>
            </w:pPr>
            <w:r>
              <w:rPr>
                <w:rFonts w:hint="eastAsia" w:ascii="Times New Roman" w:hAnsi="Times New Roman" w:eastAsia="仿宋_GB2312"/>
                <w:b/>
                <w:bCs/>
                <w:kern w:val="0"/>
                <w:sz w:val="22"/>
                <w:szCs w:val="22"/>
                <w:u w:val="none"/>
                <w:lang w:eastAsia="zh-CN" w:bidi="ar"/>
              </w:rPr>
              <w:t>检查结论</w:t>
            </w:r>
          </w:p>
        </w:tc>
      </w:tr>
      <w:tr>
        <w:tblPrEx>
          <w:tblLayout w:type="fixed"/>
          <w:tblCellMar>
            <w:top w:w="0" w:type="dxa"/>
            <w:left w:w="0" w:type="dxa"/>
            <w:bottom w:w="0" w:type="dxa"/>
            <w:right w:w="0" w:type="dxa"/>
          </w:tblCellMar>
        </w:tblPrEx>
        <w:trPr>
          <w:trHeight w:val="417" w:hRule="atLeast"/>
          <w:jc w:val="center"/>
        </w:trPr>
        <w:tc>
          <w:tcPr>
            <w:tcW w:w="7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1</w:t>
            </w:r>
          </w:p>
        </w:tc>
        <w:tc>
          <w:tcPr>
            <w:tcW w:w="1168" w:type="dxa"/>
            <w:vMerge w:val="restart"/>
            <w:tcBorders>
              <w:top w:val="single" w:color="auto" w:sz="4" w:space="0"/>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eastAsia="zh-CN"/>
              </w:rPr>
              <w:t>优化招生入学政策措施</w:t>
            </w: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sz w:val="24"/>
                <w:u w:val="none"/>
                <w:lang w:val="en-US" w:eastAsia="zh-Hans"/>
              </w:rPr>
              <w:t>学校</w:t>
            </w:r>
            <w:r>
              <w:rPr>
                <w:rFonts w:hint="eastAsia" w:ascii="Times New Roman" w:hAnsi="Times New Roman" w:eastAsia="仿宋_GB2312"/>
                <w:b w:val="0"/>
                <w:bCs w:val="0"/>
                <w:sz w:val="24"/>
                <w:u w:val="none"/>
                <w:lang w:val="en-US" w:eastAsia="zh-CN"/>
              </w:rPr>
              <w:t>划片招生范围是否</w:t>
            </w:r>
            <w:r>
              <w:rPr>
                <w:rFonts w:hint="eastAsia" w:ascii="Times New Roman" w:hAnsi="Times New Roman" w:eastAsia="仿宋_GB2312"/>
                <w:b w:val="0"/>
                <w:bCs w:val="0"/>
                <w:sz w:val="24"/>
                <w:u w:val="none"/>
                <w:lang w:val="en-US" w:eastAsia="zh-Hans"/>
              </w:rPr>
              <w:t>科学合理</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409" w:hRule="atLeast"/>
          <w:jc w:val="center"/>
        </w:trPr>
        <w:tc>
          <w:tcPr>
            <w:tcW w:w="7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2</w:t>
            </w:r>
          </w:p>
        </w:tc>
        <w:tc>
          <w:tcPr>
            <w:tcW w:w="1168" w:type="dxa"/>
            <w:vMerge w:val="continue"/>
            <w:tcBorders>
              <w:left w:val="single" w:color="auto" w:sz="4" w:space="0"/>
              <w:right w:val="single" w:color="auto" w:sz="4" w:space="0"/>
            </w:tcBorders>
            <w:vAlign w:val="center"/>
          </w:tcPr>
          <w:p>
            <w:pPr>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val="en-US" w:eastAsia="zh-Hans" w:bidi="ar"/>
              </w:rPr>
              <w:t>新建学校招生范围和新建小区对口学校划分工作机制</w:t>
            </w:r>
            <w:r>
              <w:rPr>
                <w:rFonts w:hint="eastAsia" w:ascii="Times New Roman" w:hAnsi="Times New Roman" w:eastAsia="仿宋_GB2312"/>
                <w:b w:val="0"/>
                <w:bCs w:val="0"/>
                <w:kern w:val="0"/>
                <w:sz w:val="24"/>
                <w:u w:val="none"/>
                <w:lang w:val="en-US" w:eastAsia="zh-CN" w:bidi="ar"/>
              </w:rPr>
              <w:t>是否完善</w:t>
            </w:r>
          </w:p>
        </w:tc>
        <w:tc>
          <w:tcPr>
            <w:tcW w:w="45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508" w:hRule="exact"/>
          <w:jc w:val="center"/>
        </w:trPr>
        <w:tc>
          <w:tcPr>
            <w:tcW w:w="7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3</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Hans" w:bidi="ar"/>
              </w:rPr>
            </w:pPr>
            <w:r>
              <w:rPr>
                <w:rFonts w:hint="eastAsia" w:ascii="Times New Roman" w:hAnsi="Times New Roman" w:eastAsia="仿宋_GB2312"/>
                <w:b w:val="0"/>
                <w:bCs w:val="0"/>
                <w:kern w:val="0"/>
                <w:sz w:val="24"/>
                <w:u w:val="none"/>
                <w:lang w:val="en-US" w:eastAsia="zh-CN" w:bidi="ar"/>
              </w:rPr>
              <w:t>州、县（市）级教育行政部门举办的</w:t>
            </w:r>
            <w:r>
              <w:rPr>
                <w:rFonts w:hint="eastAsia" w:ascii="Times New Roman" w:hAnsi="Times New Roman" w:eastAsia="仿宋_GB2312"/>
                <w:b w:val="0"/>
                <w:bCs w:val="0"/>
                <w:kern w:val="0"/>
                <w:sz w:val="24"/>
                <w:u w:val="none"/>
                <w:lang w:val="en-US" w:eastAsia="zh-Hans" w:bidi="ar"/>
              </w:rPr>
              <w:t>义务教育学校</w:t>
            </w:r>
            <w:r>
              <w:rPr>
                <w:rFonts w:hint="eastAsia" w:ascii="Times New Roman" w:hAnsi="Times New Roman" w:eastAsia="仿宋_GB2312"/>
                <w:b w:val="0"/>
                <w:bCs w:val="0"/>
                <w:kern w:val="0"/>
                <w:sz w:val="24"/>
                <w:u w:val="none"/>
                <w:lang w:val="en-US" w:eastAsia="zh-CN" w:bidi="ar"/>
              </w:rPr>
              <w:t>是否</w:t>
            </w:r>
            <w:r>
              <w:rPr>
                <w:rFonts w:hint="eastAsia" w:ascii="Times New Roman" w:hAnsi="Times New Roman" w:eastAsia="仿宋_GB2312"/>
                <w:b w:val="0"/>
                <w:bCs w:val="0"/>
                <w:kern w:val="0"/>
                <w:sz w:val="24"/>
                <w:u w:val="none"/>
                <w:lang w:val="en-US" w:eastAsia="zh-Hans" w:bidi="ar"/>
              </w:rPr>
              <w:t>全面纳入属地招生管理</w:t>
            </w:r>
            <w:r>
              <w:rPr>
                <w:rFonts w:hint="default" w:ascii="Times New Roman" w:hAnsi="Times New Roman" w:eastAsia="仿宋_GB2312"/>
                <w:b w:val="0"/>
                <w:bCs w:val="0"/>
                <w:kern w:val="0"/>
                <w:sz w:val="24"/>
                <w:u w:val="none"/>
                <w:lang w:eastAsia="zh-Hans" w:bidi="ar"/>
              </w:rPr>
              <w:t>、</w:t>
            </w:r>
            <w:r>
              <w:rPr>
                <w:rFonts w:hint="eastAsia" w:ascii="Times New Roman" w:hAnsi="Times New Roman" w:eastAsia="仿宋_GB2312"/>
                <w:b w:val="0"/>
                <w:bCs w:val="0"/>
                <w:kern w:val="0"/>
                <w:sz w:val="24"/>
                <w:u w:val="none"/>
                <w:lang w:val="en-US" w:eastAsia="zh-Hans" w:bidi="ar"/>
              </w:rPr>
              <w:t>实行统一招生政策</w:t>
            </w:r>
          </w:p>
        </w:tc>
        <w:tc>
          <w:tcPr>
            <w:tcW w:w="4554" w:type="dxa"/>
            <w:tcBorders>
              <w:top w:val="single" w:color="auto" w:sz="4" w:space="0"/>
              <w:left w:val="single" w:color="auto" w:sz="4" w:space="0"/>
              <w:bottom w:val="single" w:color="auto"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553" w:hRule="exact"/>
          <w:jc w:val="center"/>
        </w:trPr>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4</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Hans" w:bidi="ar-SA"/>
              </w:rPr>
            </w:pPr>
            <w:r>
              <w:rPr>
                <w:rFonts w:hint="eastAsia" w:ascii="Times New Roman" w:hAnsi="Times New Roman" w:eastAsia="仿宋_GB2312"/>
                <w:b w:val="0"/>
                <w:bCs w:val="0"/>
                <w:sz w:val="24"/>
                <w:u w:val="none"/>
                <w:lang w:val="en-US" w:eastAsia="zh-Hans"/>
              </w:rPr>
              <w:t>高层次人才等特殊群体子女教育优</w:t>
            </w:r>
            <w:r>
              <w:rPr>
                <w:rFonts w:hint="eastAsia" w:ascii="Times New Roman" w:hAnsi="Times New Roman" w:eastAsia="仿宋_GB2312"/>
                <w:b w:val="0"/>
                <w:bCs w:val="0"/>
                <w:sz w:val="24"/>
                <w:u w:val="none"/>
                <w:lang w:val="en-US" w:eastAsia="zh-CN"/>
              </w:rPr>
              <w:t>待</w:t>
            </w:r>
            <w:r>
              <w:rPr>
                <w:rFonts w:hint="eastAsia" w:ascii="Times New Roman" w:hAnsi="Times New Roman" w:eastAsia="仿宋_GB2312"/>
                <w:b w:val="0"/>
                <w:bCs w:val="0"/>
                <w:sz w:val="24"/>
                <w:u w:val="none"/>
                <w:lang w:val="en-US" w:eastAsia="zh-Hans"/>
              </w:rPr>
              <w:t>政策</w:t>
            </w:r>
            <w:r>
              <w:rPr>
                <w:rFonts w:hint="eastAsia" w:ascii="Times New Roman" w:hAnsi="Times New Roman" w:eastAsia="仿宋_GB2312"/>
                <w:b w:val="0"/>
                <w:bCs w:val="0"/>
                <w:sz w:val="24"/>
                <w:u w:val="none"/>
                <w:lang w:val="en-US" w:eastAsia="zh-CN"/>
              </w:rPr>
              <w:t>是否有</w:t>
            </w:r>
            <w:r>
              <w:rPr>
                <w:rFonts w:hint="eastAsia" w:ascii="Times New Roman" w:hAnsi="Times New Roman" w:eastAsia="仿宋_GB2312"/>
                <w:b w:val="0"/>
                <w:bCs w:val="0"/>
                <w:sz w:val="24"/>
                <w:u w:val="none"/>
                <w:lang w:val="en-US" w:eastAsia="zh-Hans"/>
              </w:rPr>
              <w:t>明确的实施依据</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范围</w:t>
            </w:r>
            <w:r>
              <w:rPr>
                <w:rFonts w:hint="default" w:ascii="Times New Roman" w:hAnsi="Times New Roman" w:eastAsia="仿宋_GB2312"/>
                <w:b w:val="0"/>
                <w:bCs w:val="0"/>
                <w:sz w:val="24"/>
                <w:u w:val="none"/>
                <w:lang w:eastAsia="zh-Hans"/>
              </w:rPr>
              <w:t>、</w:t>
            </w:r>
            <w:r>
              <w:rPr>
                <w:rFonts w:hint="eastAsia" w:ascii="Times New Roman" w:hAnsi="Times New Roman" w:eastAsia="仿宋_GB2312"/>
                <w:b w:val="0"/>
                <w:bCs w:val="0"/>
                <w:sz w:val="24"/>
                <w:u w:val="none"/>
                <w:lang w:val="en-US" w:eastAsia="zh-Hans"/>
              </w:rPr>
              <w:t>要求和程序</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531" w:hRule="exact"/>
          <w:jc w:val="center"/>
        </w:trPr>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5</w:t>
            </w:r>
          </w:p>
        </w:tc>
        <w:tc>
          <w:tcPr>
            <w:tcW w:w="1168" w:type="dxa"/>
            <w:vMerge w:val="restart"/>
            <w:tcBorders>
              <w:top w:val="single" w:color="auto" w:sz="4" w:space="0"/>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r>
              <w:rPr>
                <w:rFonts w:hint="eastAsia" w:ascii="Times New Roman" w:hAnsi="Times New Roman" w:eastAsia="仿宋_GB2312"/>
                <w:b w:val="0"/>
                <w:bCs w:val="0"/>
                <w:sz w:val="24"/>
                <w:u w:val="none"/>
                <w:lang w:val="en-US" w:eastAsia="zh-CN"/>
              </w:rPr>
              <w:t>严格规范招生行为</w:t>
            </w: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eastAsia="zh-CN" w:bidi="ar"/>
              </w:rPr>
              <w:t>是否</w:t>
            </w:r>
            <w:r>
              <w:rPr>
                <w:rFonts w:hint="eastAsia" w:ascii="Times New Roman" w:hAnsi="Times New Roman" w:eastAsia="仿宋_GB2312"/>
                <w:b w:val="0"/>
                <w:bCs w:val="0"/>
                <w:kern w:val="0"/>
                <w:sz w:val="24"/>
                <w:u w:val="none"/>
                <w:lang w:bidi="ar"/>
              </w:rPr>
              <w:t>将社会培训机构自行组织的各类考试结果、培训证书作为招生</w:t>
            </w:r>
            <w:r>
              <w:rPr>
                <w:rFonts w:hint="eastAsia" w:ascii="Times New Roman" w:hAnsi="Times New Roman" w:eastAsia="仿宋_GB2312"/>
                <w:b w:val="0"/>
                <w:bCs w:val="0"/>
                <w:kern w:val="0"/>
                <w:sz w:val="24"/>
                <w:u w:val="none"/>
                <w:lang w:val="en-US" w:eastAsia="zh-Hans" w:bidi="ar"/>
              </w:rPr>
              <w:t>参考或</w:t>
            </w:r>
            <w:r>
              <w:rPr>
                <w:rFonts w:hint="eastAsia" w:ascii="Times New Roman" w:hAnsi="Times New Roman" w:eastAsia="仿宋_GB2312"/>
                <w:b w:val="0"/>
                <w:bCs w:val="0"/>
                <w:kern w:val="0"/>
                <w:sz w:val="24"/>
                <w:u w:val="none"/>
                <w:lang w:bidi="ar"/>
              </w:rPr>
              <w:t>依据</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lang w:val="en-US" w:eastAsia="zh-CN"/>
              </w:rPr>
            </w:pPr>
          </w:p>
        </w:tc>
      </w:tr>
      <w:tr>
        <w:tblPrEx>
          <w:tblLayout w:type="fixed"/>
          <w:tblCellMar>
            <w:top w:w="0" w:type="dxa"/>
            <w:left w:w="0" w:type="dxa"/>
            <w:bottom w:w="0" w:type="dxa"/>
            <w:right w:w="0" w:type="dxa"/>
          </w:tblCellMar>
        </w:tblPrEx>
        <w:trPr>
          <w:trHeight w:val="385" w:hRule="exact"/>
          <w:jc w:val="center"/>
        </w:trPr>
        <w:tc>
          <w:tcPr>
            <w:tcW w:w="7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6</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eastAsia="zh-CN" w:bidi="ar"/>
              </w:rPr>
              <w:t>是否</w:t>
            </w:r>
            <w:r>
              <w:rPr>
                <w:rFonts w:hint="eastAsia" w:ascii="Times New Roman" w:hAnsi="Times New Roman" w:eastAsia="仿宋_GB2312"/>
                <w:b w:val="0"/>
                <w:bCs w:val="0"/>
                <w:kern w:val="0"/>
                <w:sz w:val="24"/>
                <w:u w:val="none"/>
                <w:lang w:bidi="ar"/>
              </w:rPr>
              <w:t>将学科竞赛成绩</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考级证明</w:t>
            </w:r>
            <w:r>
              <w:rPr>
                <w:rFonts w:hint="eastAsia" w:ascii="Times New Roman" w:hAnsi="Times New Roman" w:eastAsia="仿宋_GB2312"/>
                <w:b w:val="0"/>
                <w:bCs w:val="0"/>
                <w:kern w:val="0"/>
                <w:sz w:val="24"/>
                <w:u w:val="none"/>
                <w:lang w:eastAsia="zh-CN" w:bidi="ar"/>
              </w:rPr>
              <w:t>（证书）等</w:t>
            </w:r>
            <w:r>
              <w:rPr>
                <w:rFonts w:hint="eastAsia" w:ascii="Times New Roman" w:hAnsi="Times New Roman" w:eastAsia="仿宋_GB2312"/>
                <w:b w:val="0"/>
                <w:bCs w:val="0"/>
                <w:kern w:val="0"/>
                <w:sz w:val="24"/>
                <w:u w:val="none"/>
                <w:lang w:bidi="ar"/>
              </w:rPr>
              <w:t>作为招生</w:t>
            </w:r>
            <w:r>
              <w:rPr>
                <w:rFonts w:hint="eastAsia" w:ascii="Times New Roman" w:hAnsi="Times New Roman" w:eastAsia="仿宋_GB2312"/>
                <w:b w:val="0"/>
                <w:bCs w:val="0"/>
                <w:kern w:val="0"/>
                <w:sz w:val="24"/>
                <w:u w:val="none"/>
                <w:lang w:eastAsia="zh-CN" w:bidi="ar"/>
              </w:rPr>
              <w:t>参考或</w:t>
            </w:r>
            <w:r>
              <w:rPr>
                <w:rFonts w:hint="eastAsia" w:ascii="Times New Roman" w:hAnsi="Times New Roman" w:eastAsia="仿宋_GB2312"/>
                <w:b w:val="0"/>
                <w:bCs w:val="0"/>
                <w:kern w:val="0"/>
                <w:sz w:val="24"/>
                <w:u w:val="none"/>
                <w:lang w:bidi="ar"/>
              </w:rPr>
              <w:t>依据</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r>
      <w:tr>
        <w:tblPrEx>
          <w:tblLayout w:type="fixed"/>
          <w:tblCellMar>
            <w:top w:w="0" w:type="dxa"/>
            <w:left w:w="0" w:type="dxa"/>
            <w:bottom w:w="0" w:type="dxa"/>
            <w:right w:w="0" w:type="dxa"/>
          </w:tblCellMar>
        </w:tblPrEx>
        <w:trPr>
          <w:trHeight w:val="522" w:hRule="exact"/>
          <w:jc w:val="center"/>
        </w:trPr>
        <w:tc>
          <w:tcPr>
            <w:tcW w:w="7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7</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收取或变相收取与入学挂钩、关联的</w:t>
            </w:r>
            <w:r>
              <w:rPr>
                <w:rFonts w:hint="eastAsia" w:ascii="Times New Roman" w:hAnsi="Times New Roman" w:eastAsia="仿宋_GB2312"/>
                <w:b w:val="0"/>
                <w:bCs w:val="0"/>
                <w:kern w:val="0"/>
                <w:sz w:val="24"/>
                <w:u w:val="none"/>
                <w:lang w:bidi="ar"/>
              </w:rPr>
              <w:t>“捐资助学款”“共建费”</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481" w:hRule="exact"/>
          <w:jc w:val="center"/>
        </w:trPr>
        <w:tc>
          <w:tcPr>
            <w:tcW w:w="7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8</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ascii="Times New Roman" w:hAnsi="Times New Roman" w:eastAsia="仿宋_GB2312"/>
                <w:b w:val="0"/>
                <w:bCs w:val="0"/>
                <w:kern w:val="0"/>
                <w:sz w:val="24"/>
                <w:u w:val="none"/>
                <w:lang w:bidi="ar"/>
              </w:rPr>
              <w:t>是否</w:t>
            </w:r>
            <w:r>
              <w:rPr>
                <w:rFonts w:hint="eastAsia" w:ascii="Times New Roman" w:hAnsi="Times New Roman" w:eastAsia="仿宋_GB2312"/>
                <w:kern w:val="0"/>
                <w:sz w:val="24"/>
                <w:lang w:bidi="ar"/>
              </w:rPr>
              <w:t>以高额物质奖励</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虚假宣</w:t>
            </w:r>
            <w:r>
              <w:rPr>
                <w:rFonts w:hint="eastAsia" w:ascii="Times New Roman" w:hAnsi="Times New Roman" w:eastAsia="仿宋_GB2312"/>
                <w:b w:val="0"/>
                <w:bCs w:val="0"/>
                <w:kern w:val="0"/>
                <w:sz w:val="24"/>
                <w:u w:val="none"/>
                <w:lang w:eastAsia="zh-CN" w:bidi="ar"/>
              </w:rPr>
              <w:t>传、</w:t>
            </w:r>
            <w:r>
              <w:rPr>
                <w:rFonts w:hint="eastAsia" w:ascii="Times New Roman" w:hAnsi="Times New Roman" w:eastAsia="仿宋_GB2312"/>
                <w:b w:val="0"/>
                <w:bCs w:val="0"/>
                <w:kern w:val="0"/>
                <w:sz w:val="24"/>
                <w:u w:val="none"/>
                <w:lang w:bidi="ar"/>
              </w:rPr>
              <w:t>口头承诺或签订录取承诺书</w:t>
            </w:r>
            <w:r>
              <w:rPr>
                <w:rFonts w:hint="eastAsia" w:ascii="Times New Roman" w:hAnsi="Times New Roman" w:eastAsia="仿宋_GB2312"/>
                <w:b w:val="0"/>
                <w:bCs w:val="0"/>
                <w:kern w:val="0"/>
                <w:sz w:val="24"/>
                <w:u w:val="none"/>
                <w:lang w:eastAsia="zh-CN" w:bidi="ar"/>
              </w:rPr>
              <w:t>等方式</w:t>
            </w:r>
            <w:r>
              <w:rPr>
                <w:rFonts w:hint="eastAsia" w:ascii="Times New Roman" w:hAnsi="Times New Roman" w:eastAsia="仿宋_GB2312"/>
                <w:b w:val="0"/>
                <w:bCs w:val="0"/>
                <w:kern w:val="0"/>
                <w:sz w:val="24"/>
                <w:u w:val="none"/>
                <w:lang w:bidi="ar"/>
              </w:rPr>
              <w:t>招揽生源</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642" w:hRule="exact"/>
          <w:jc w:val="center"/>
        </w:trPr>
        <w:tc>
          <w:tcPr>
            <w:tcW w:w="7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9</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eastAsia="zh-CN" w:bidi="ar"/>
              </w:rPr>
              <w:t>是否自行组织或与社会培训机构联合组织以选拔生源为目的的各类测试面试</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418" w:hRule="exac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10</w:t>
            </w:r>
          </w:p>
        </w:tc>
        <w:tc>
          <w:tcPr>
            <w:tcW w:w="1168" w:type="dxa"/>
            <w:vMerge w:val="continue"/>
            <w:tcBorders>
              <w:left w:val="single" w:color="auto" w:sz="4" w:space="0"/>
              <w:bottom w:val="single" w:color="auto" w:sz="4" w:space="0"/>
              <w:right w:val="single" w:color="auto" w:sz="4" w:space="0"/>
            </w:tcBorders>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sz w:val="24"/>
                <w:u w:val="none"/>
                <w:lang w:eastAsia="zh-CN"/>
              </w:rPr>
              <w:t>是否设立或变相设立</w:t>
            </w:r>
            <w:r>
              <w:rPr>
                <w:rFonts w:hint="eastAsia" w:ascii="Times New Roman" w:hAnsi="Times New Roman" w:eastAsia="仿宋_GB2312"/>
                <w:b w:val="0"/>
                <w:bCs w:val="0"/>
                <w:sz w:val="24"/>
                <w:u w:val="none"/>
              </w:rPr>
              <w:t>重点班、快慢班</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605" w:hRule="exac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11</w:t>
            </w:r>
          </w:p>
        </w:tc>
        <w:tc>
          <w:tcPr>
            <w:tcW w:w="1168" w:type="dxa"/>
            <w:vMerge w:val="restart"/>
            <w:tcBorders>
              <w:top w:val="single" w:color="auto" w:sz="4" w:space="0"/>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r>
              <w:rPr>
                <w:rFonts w:hint="eastAsia" w:ascii="Times New Roman" w:hAnsi="Times New Roman" w:eastAsia="仿宋_GB2312"/>
                <w:b w:val="0"/>
                <w:bCs w:val="0"/>
                <w:kern w:val="0"/>
                <w:sz w:val="24"/>
                <w:u w:val="none"/>
                <w:lang w:val="en-US" w:eastAsia="zh-CN" w:bidi="ar"/>
              </w:rPr>
              <w:t>强化招生信息公开</w:t>
            </w: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sz w:val="24"/>
                <w:u w:val="none"/>
              </w:rPr>
              <w:t>是否</w:t>
            </w:r>
            <w:r>
              <w:rPr>
                <w:rFonts w:hint="eastAsia" w:ascii="Times New Roman" w:hAnsi="Times New Roman" w:eastAsia="仿宋_GB2312"/>
                <w:b w:val="0"/>
                <w:bCs w:val="0"/>
                <w:sz w:val="24"/>
                <w:u w:val="none"/>
                <w:lang w:val="en-US" w:eastAsia="zh-Hans"/>
              </w:rPr>
              <w:t>通过互联网等多种方式</w:t>
            </w:r>
            <w:r>
              <w:rPr>
                <w:rFonts w:hint="eastAsia" w:ascii="Times New Roman" w:hAnsi="Times New Roman" w:eastAsia="仿宋_GB2312"/>
                <w:b w:val="0"/>
                <w:bCs w:val="0"/>
                <w:sz w:val="24"/>
                <w:u w:val="none"/>
              </w:rPr>
              <w:t>公布</w:t>
            </w:r>
            <w:r>
              <w:rPr>
                <w:rFonts w:hint="eastAsia" w:ascii="Times New Roman" w:hAnsi="Times New Roman" w:eastAsia="仿宋_GB2312"/>
                <w:b w:val="0"/>
                <w:bCs w:val="0"/>
                <w:sz w:val="24"/>
                <w:u w:val="none"/>
                <w:lang w:eastAsia="zh-CN"/>
              </w:rPr>
              <w:t>辖区内</w:t>
            </w:r>
            <w:r>
              <w:rPr>
                <w:rFonts w:hint="eastAsia" w:ascii="Times New Roman" w:hAnsi="Times New Roman" w:eastAsia="仿宋_GB2312"/>
                <w:b w:val="0"/>
                <w:bCs w:val="0"/>
                <w:kern w:val="0"/>
                <w:sz w:val="24"/>
                <w:u w:val="none"/>
                <w:lang w:bidi="ar"/>
              </w:rPr>
              <w:t>每所义务教育学校当年度招生政策</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划片范围</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报名条件</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kern w:val="0"/>
                <w:sz w:val="24"/>
                <w:u w:val="none"/>
                <w:lang w:bidi="ar"/>
              </w:rPr>
              <w:t>招生程序</w:t>
            </w:r>
            <w:r>
              <w:rPr>
                <w:rFonts w:hint="eastAsia" w:ascii="Times New Roman" w:hAnsi="Times New Roman" w:eastAsia="仿宋_GB2312"/>
                <w:b w:val="0"/>
                <w:bCs w:val="0"/>
                <w:kern w:val="0"/>
                <w:sz w:val="24"/>
                <w:u w:val="none"/>
                <w:lang w:eastAsia="zh-CN" w:bidi="ar"/>
              </w:rPr>
              <w:t>、</w:t>
            </w:r>
            <w:r>
              <w:rPr>
                <w:rFonts w:hint="eastAsia" w:ascii="Times New Roman" w:hAnsi="Times New Roman" w:eastAsia="仿宋_GB2312"/>
                <w:b w:val="0"/>
                <w:bCs w:val="0"/>
                <w:sz w:val="24"/>
                <w:u w:val="none"/>
                <w:lang w:val="en-US" w:eastAsia="zh-CN"/>
              </w:rPr>
              <w:t>入学新生名单等</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val="en-US" w:eastAsia="zh-CN" w:bidi="ar"/>
              </w:rPr>
            </w:pPr>
          </w:p>
        </w:tc>
      </w:tr>
      <w:tr>
        <w:tblPrEx>
          <w:tblLayout w:type="fixed"/>
          <w:tblCellMar>
            <w:top w:w="0" w:type="dxa"/>
            <w:left w:w="0" w:type="dxa"/>
            <w:bottom w:w="0" w:type="dxa"/>
            <w:right w:w="0" w:type="dxa"/>
          </w:tblCellMar>
        </w:tblPrEx>
        <w:trPr>
          <w:trHeight w:val="538" w:hRule="exac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12</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是否建立响应机制，指导区域内热点中小学校及时回应社会和家长关心关注的问题，面向公众公开声明</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538" w:hRule="exac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13</w:t>
            </w:r>
          </w:p>
        </w:tc>
        <w:tc>
          <w:tcPr>
            <w:tcW w:w="1168" w:type="dxa"/>
            <w:vMerge w:val="continue"/>
            <w:tcBorders>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是否设立并公布专门的招生入学热线，畅通政策咨询、举报申诉等渠道</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391" w:hRule="exac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14</w:t>
            </w:r>
          </w:p>
        </w:tc>
        <w:tc>
          <w:tcPr>
            <w:tcW w:w="1168" w:type="dxa"/>
            <w:vMerge w:val="restart"/>
            <w:tcBorders>
              <w:top w:val="single" w:color="auto" w:sz="4" w:space="0"/>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eastAsia="zh-CN" w:bidi="ar"/>
              </w:rPr>
            </w:pPr>
            <w:r>
              <w:rPr>
                <w:rFonts w:hint="eastAsia" w:ascii="Times New Roman" w:hAnsi="Times New Roman" w:eastAsia="仿宋_GB2312"/>
                <w:b w:val="0"/>
                <w:bCs w:val="0"/>
                <w:kern w:val="0"/>
                <w:sz w:val="24"/>
                <w:u w:val="none"/>
                <w:lang w:eastAsia="zh-CN" w:bidi="ar"/>
              </w:rPr>
              <w:t>优化招生入学流程</w:t>
            </w: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是否使用统一的招生入学服务平台或招生系统</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r>
        <w:tblPrEx>
          <w:tblLayout w:type="fixed"/>
          <w:tblCellMar>
            <w:top w:w="0" w:type="dxa"/>
            <w:left w:w="0" w:type="dxa"/>
            <w:bottom w:w="0" w:type="dxa"/>
            <w:right w:w="0" w:type="dxa"/>
          </w:tblCellMar>
        </w:tblPrEx>
        <w:trPr>
          <w:trHeight w:val="437" w:hRule="exac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15</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是否实现报名、材料审核和录取一网通办</w:t>
            </w:r>
          </w:p>
        </w:tc>
        <w:tc>
          <w:tcPr>
            <w:tcW w:w="4554" w:type="dxa"/>
            <w:tcBorders>
              <w:top w:val="single" w:color="auto" w:sz="4" w:space="0"/>
              <w:left w:val="single" w:color="000000" w:sz="4" w:space="0"/>
              <w:bottom w:val="single" w:color="000000"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000000" w:sz="4" w:space="0"/>
              <w:bottom w:val="single" w:color="000000"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595" w:hRule="exac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16</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是否实现区域内户籍、房产、居住证、出生证明、疫苗接种等入学相关信息互通共享</w:t>
            </w:r>
          </w:p>
        </w:tc>
        <w:tc>
          <w:tcPr>
            <w:tcW w:w="4554"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401"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17</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是否利用信息化手段自动对比审核入学证明材料</w:t>
            </w:r>
          </w:p>
        </w:tc>
        <w:tc>
          <w:tcPr>
            <w:tcW w:w="4554" w:type="dxa"/>
            <w:tcBorders>
              <w:top w:val="single" w:color="000000" w:sz="4" w:space="0"/>
              <w:left w:val="single" w:color="000000" w:sz="4" w:space="0"/>
              <w:bottom w:val="single" w:color="auto"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000000" w:sz="4" w:space="0"/>
              <w:left w:val="single" w:color="000000" w:sz="4" w:space="0"/>
              <w:bottom w:val="single" w:color="auto" w:sz="4" w:space="0"/>
              <w:right w:val="single" w:color="000000"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463" w:hRule="exact"/>
          <w:jc w:val="center"/>
        </w:trPr>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18</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是否严格按照学籍信息采集表内容采集学生及家长信息</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592" w:hRule="exact"/>
          <w:jc w:val="center"/>
        </w:trPr>
        <w:tc>
          <w:tcPr>
            <w:tcW w:w="7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19</w:t>
            </w:r>
          </w:p>
        </w:tc>
        <w:tc>
          <w:tcPr>
            <w:tcW w:w="1168" w:type="dxa"/>
            <w:vMerge w:val="continue"/>
            <w:tcBorders>
              <w:left w:val="single" w:color="auto" w:sz="4" w:space="0"/>
              <w:bottom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明确禁止</w:t>
            </w:r>
            <w:r>
              <w:rPr>
                <w:rFonts w:hint="eastAsia" w:ascii="Times New Roman" w:hAnsi="Times New Roman" w:eastAsia="仿宋_GB2312"/>
                <w:b w:val="0"/>
                <w:bCs w:val="0"/>
                <w:kern w:val="0"/>
                <w:sz w:val="24"/>
                <w:u w:val="none"/>
                <w:lang w:bidi="ar"/>
              </w:rPr>
              <w:t>利用各类</w:t>
            </w:r>
            <w:r>
              <w:rPr>
                <w:rFonts w:hint="eastAsia" w:asciiTheme="minorEastAsia" w:hAnsiTheme="minorEastAsia" w:eastAsiaTheme="minorEastAsia" w:cstheme="minorEastAsia"/>
                <w:b w:val="0"/>
                <w:bCs w:val="0"/>
                <w:kern w:val="0"/>
                <w:sz w:val="24"/>
                <w:u w:val="none"/>
                <w:lang w:bidi="ar"/>
              </w:rPr>
              <w:t>APP</w:t>
            </w:r>
            <w:r>
              <w:rPr>
                <w:rFonts w:hint="eastAsia" w:ascii="Times New Roman" w:hAnsi="Times New Roman" w:eastAsia="仿宋_GB2312"/>
                <w:b w:val="0"/>
                <w:bCs w:val="0"/>
                <w:kern w:val="0"/>
                <w:sz w:val="24"/>
                <w:u w:val="none"/>
                <w:lang w:bidi="ar"/>
              </w:rPr>
              <w:t>、小程序随意反复采集学生相关信息</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r>
      <w:tr>
        <w:tblPrEx>
          <w:tblLayout w:type="fixed"/>
          <w:tblCellMar>
            <w:top w:w="0" w:type="dxa"/>
            <w:left w:w="0" w:type="dxa"/>
            <w:bottom w:w="0" w:type="dxa"/>
            <w:right w:w="0" w:type="dxa"/>
          </w:tblCellMar>
        </w:tblPrEx>
        <w:trPr>
          <w:trHeight w:val="647"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20</w:t>
            </w:r>
          </w:p>
        </w:tc>
        <w:tc>
          <w:tcPr>
            <w:tcW w:w="1168" w:type="dxa"/>
            <w:vMerge w:val="restart"/>
            <w:tcBorders>
              <w:top w:val="single" w:color="auto" w:sz="4" w:space="0"/>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lang w:eastAsia="zh-CN"/>
              </w:rPr>
            </w:pPr>
            <w:r>
              <w:rPr>
                <w:rFonts w:hint="eastAsia" w:ascii="Times New Roman" w:hAnsi="Times New Roman" w:eastAsia="仿宋_GB2312"/>
                <w:b w:val="0"/>
                <w:bCs w:val="0"/>
                <w:sz w:val="24"/>
                <w:u w:val="none"/>
                <w:lang w:eastAsia="zh-CN"/>
              </w:rPr>
              <w:t>保障特殊群体入学</w:t>
            </w: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bidi="ar"/>
              </w:rPr>
              <w:t>是否</w:t>
            </w:r>
            <w:r>
              <w:rPr>
                <w:rFonts w:hint="eastAsia" w:ascii="Times New Roman" w:hAnsi="Times New Roman" w:eastAsia="仿宋_GB2312"/>
                <w:b w:val="0"/>
                <w:bCs w:val="0"/>
                <w:kern w:val="0"/>
                <w:sz w:val="24"/>
                <w:u w:val="none"/>
                <w:lang w:eastAsia="zh-CN" w:bidi="ar"/>
              </w:rPr>
              <w:t>能够</w:t>
            </w:r>
            <w:r>
              <w:rPr>
                <w:rFonts w:hint="eastAsia" w:ascii="Times New Roman" w:hAnsi="Times New Roman" w:eastAsia="仿宋_GB2312"/>
                <w:b w:val="0"/>
                <w:bCs w:val="0"/>
                <w:kern w:val="0"/>
                <w:sz w:val="24"/>
                <w:u w:val="none"/>
                <w:lang w:bidi="ar"/>
              </w:rPr>
              <w:t>及时更新</w:t>
            </w:r>
            <w:r>
              <w:rPr>
                <w:rFonts w:hint="eastAsia" w:ascii="Times New Roman" w:hAnsi="Times New Roman" w:eastAsia="仿宋_GB2312"/>
                <w:b w:val="0"/>
                <w:bCs w:val="0"/>
                <w:kern w:val="0"/>
                <w:sz w:val="24"/>
                <w:u w:val="none"/>
                <w:lang w:eastAsia="zh-CN" w:bidi="ar"/>
              </w:rPr>
              <w:t>全国基础教育管理服务平台</w:t>
            </w:r>
            <w:r>
              <w:rPr>
                <w:rFonts w:hint="eastAsia" w:ascii="Times New Roman" w:hAnsi="Times New Roman" w:eastAsia="仿宋_GB2312"/>
                <w:b w:val="0"/>
                <w:bCs w:val="0"/>
                <w:sz w:val="24"/>
                <w:u w:val="none"/>
              </w:rPr>
              <w:t>控辍保学台账中疑似辍学和辍学学生信息</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471"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21</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b w:val="0"/>
                <w:bCs w:val="0"/>
                <w:kern w:val="0"/>
                <w:sz w:val="24"/>
                <w:u w:val="none"/>
                <w:lang w:eastAsia="zh-CN" w:bidi="ar"/>
              </w:rPr>
              <w:t>是否采取行动加强</w:t>
            </w:r>
            <w:r>
              <w:rPr>
                <w:rFonts w:hint="eastAsia" w:ascii="Times New Roman" w:hAnsi="Times New Roman" w:eastAsia="仿宋_GB2312"/>
                <w:b w:val="0"/>
                <w:bCs w:val="0"/>
                <w:kern w:val="0"/>
                <w:sz w:val="24"/>
                <w:u w:val="none"/>
                <w:lang w:bidi="ar"/>
              </w:rPr>
              <w:t>辍学学生</w:t>
            </w:r>
            <w:r>
              <w:rPr>
                <w:rFonts w:hint="eastAsia" w:ascii="Times New Roman" w:hAnsi="Times New Roman" w:eastAsia="仿宋_GB2312"/>
                <w:b w:val="0"/>
                <w:bCs w:val="0"/>
                <w:kern w:val="0"/>
                <w:sz w:val="24"/>
                <w:u w:val="none"/>
                <w:lang w:eastAsia="zh-CN" w:bidi="ar"/>
              </w:rPr>
              <w:t>的劝返复学工作</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487"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22</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是否全面落实随迁子女就学政策，精简入学证明材料</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566"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23</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2"/>
                <w:sz w:val="24"/>
                <w:szCs w:val="24"/>
                <w:u w:val="none"/>
                <w:lang w:val="en-US" w:eastAsia="zh-CN" w:bidi="ar-SA"/>
              </w:rPr>
              <w:t>是否巩固并稳步提升进城务工人员子女在公办学校就读比例</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lang w:eastAsia="zh-CN"/>
              </w:rPr>
            </w:pPr>
          </w:p>
        </w:tc>
      </w:tr>
      <w:tr>
        <w:tblPrEx>
          <w:tblLayout w:type="fixed"/>
          <w:tblCellMar>
            <w:top w:w="0" w:type="dxa"/>
            <w:left w:w="0" w:type="dxa"/>
            <w:bottom w:w="0" w:type="dxa"/>
            <w:right w:w="0" w:type="dxa"/>
          </w:tblCellMar>
        </w:tblPrEx>
        <w:trPr>
          <w:trHeight w:val="519"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24</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是否依法保障能够</w:t>
            </w:r>
            <w:r>
              <w:rPr>
                <w:rFonts w:hint="eastAsia" w:ascii="Times New Roman" w:hAnsi="Times New Roman" w:eastAsia="仿宋_GB2312"/>
                <w:sz w:val="24"/>
              </w:rPr>
              <w:t>接受普通教育的适龄残疾儿童少年就近就便随班就读</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689"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sz w:val="24"/>
                <w:u w:val="none"/>
                <w:lang w:val="en-US" w:eastAsia="zh-CN"/>
              </w:rPr>
            </w:pPr>
            <w:r>
              <w:rPr>
                <w:rFonts w:hint="eastAsia" w:asciiTheme="minorEastAsia" w:hAnsiTheme="minorEastAsia" w:eastAsiaTheme="minorEastAsia" w:cstheme="minorEastAsia"/>
                <w:b w:val="0"/>
                <w:bCs w:val="0"/>
                <w:sz w:val="24"/>
                <w:u w:val="none"/>
                <w:lang w:val="en-US" w:eastAsia="zh-CN"/>
              </w:rPr>
              <w:t>25</w:t>
            </w:r>
          </w:p>
        </w:tc>
        <w:tc>
          <w:tcPr>
            <w:tcW w:w="1168" w:type="dxa"/>
            <w:vMerge w:val="continue"/>
            <w:tcBorders>
              <w:left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heme="minorBidi"/>
                <w:b w:val="0"/>
                <w:bCs w:val="0"/>
                <w:kern w:val="2"/>
                <w:sz w:val="24"/>
                <w:szCs w:val="24"/>
                <w:u w:val="none"/>
                <w:lang w:val="en-US" w:eastAsia="zh-CN" w:bidi="ar-SA"/>
              </w:rPr>
            </w:pPr>
            <w:r>
              <w:rPr>
                <w:rFonts w:hint="eastAsia" w:ascii="Times New Roman" w:hAnsi="Times New Roman" w:eastAsia="仿宋_GB2312" w:cstheme="minorBidi"/>
                <w:b w:val="0"/>
                <w:bCs w:val="0"/>
                <w:kern w:val="2"/>
                <w:sz w:val="24"/>
                <w:szCs w:val="24"/>
                <w:u w:val="none"/>
                <w:lang w:val="en-US" w:eastAsia="zh-CN" w:bidi="ar-SA"/>
              </w:rPr>
              <w:t>是否建立本地农村留守儿童、事实无人抚养儿童、孤儿、家庭经济困难学生等群体入学工作台账</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default" w:ascii="Times New Roman" w:hAnsi="Times New Roman" w:eastAsia="仿宋_GB2312"/>
                <w:b w:val="0"/>
                <w:bCs w:val="0"/>
                <w:sz w:val="24"/>
                <w:u w:val="none"/>
              </w:rPr>
            </w:pPr>
          </w:p>
        </w:tc>
      </w:tr>
      <w:tr>
        <w:tblPrEx>
          <w:tblLayout w:type="fixed"/>
          <w:tblCellMar>
            <w:top w:w="0" w:type="dxa"/>
            <w:left w:w="0" w:type="dxa"/>
            <w:bottom w:w="0" w:type="dxa"/>
            <w:right w:w="0" w:type="dxa"/>
          </w:tblCellMar>
        </w:tblPrEx>
        <w:trPr>
          <w:trHeight w:val="540" w:hRule="exact"/>
          <w:jc w:val="center"/>
        </w:trPr>
        <w:tc>
          <w:tcPr>
            <w:tcW w:w="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b w:val="0"/>
                <w:bCs w:val="0"/>
                <w:kern w:val="0"/>
                <w:sz w:val="24"/>
                <w:u w:val="none"/>
                <w:lang w:val="en-US" w:eastAsia="zh-CN" w:bidi="ar"/>
              </w:rPr>
            </w:pPr>
            <w:r>
              <w:rPr>
                <w:rFonts w:hint="eastAsia" w:asciiTheme="minorEastAsia" w:hAnsiTheme="minorEastAsia" w:eastAsiaTheme="minorEastAsia" w:cstheme="minorEastAsia"/>
                <w:b w:val="0"/>
                <w:bCs w:val="0"/>
                <w:kern w:val="0"/>
                <w:sz w:val="24"/>
                <w:u w:val="none"/>
                <w:lang w:val="en-US" w:eastAsia="zh-CN" w:bidi="ar"/>
              </w:rPr>
              <w:t>26</w:t>
            </w:r>
          </w:p>
        </w:tc>
        <w:tc>
          <w:tcPr>
            <w:tcW w:w="1168" w:type="dxa"/>
            <w:vMerge w:val="continue"/>
            <w:tcBorders>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6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heme="minorBidi"/>
                <w:b w:val="0"/>
                <w:bCs w:val="0"/>
                <w:kern w:val="0"/>
                <w:sz w:val="24"/>
                <w:szCs w:val="24"/>
                <w:u w:val="none"/>
                <w:lang w:val="en-US" w:eastAsia="zh-CN" w:bidi="ar"/>
              </w:rPr>
            </w:pPr>
            <w:r>
              <w:rPr>
                <w:rFonts w:hint="eastAsia" w:ascii="Times New Roman" w:hAnsi="Times New Roman" w:eastAsia="仿宋_GB2312" w:cstheme="minorBidi"/>
                <w:b w:val="0"/>
                <w:bCs w:val="0"/>
                <w:kern w:val="0"/>
                <w:sz w:val="24"/>
                <w:szCs w:val="24"/>
                <w:u w:val="none"/>
                <w:lang w:val="en-US" w:eastAsia="zh-CN" w:bidi="ar"/>
              </w:rPr>
              <w:t>是否建立与公安、民政等部分信息共享比对机制</w:t>
            </w:r>
          </w:p>
        </w:tc>
        <w:tc>
          <w:tcPr>
            <w:tcW w:w="45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hint="eastAsia" w:ascii="Times New Roman" w:hAnsi="Times New Roman" w:eastAsia="仿宋_GB2312"/>
                <w:b w:val="0"/>
                <w:bCs w:val="0"/>
                <w:kern w:val="0"/>
                <w:sz w:val="24"/>
                <w:u w:val="none"/>
                <w:lang w:bidi="ar"/>
              </w:rPr>
            </w:pPr>
          </w:p>
        </w:tc>
      </w:tr>
    </w:tbl>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val="en-US" w:eastAsia="zh-CN"/>
        </w:rPr>
      </w:pPr>
      <w:r>
        <w:rPr>
          <w:rFonts w:hint="default" w:ascii="Times New Roman" w:hAnsi="Times New Roman" w:eastAsia="黑体" w:cs="Times New Roman"/>
          <w:color w:val="000000"/>
          <w:w w:val="95"/>
          <w:sz w:val="36"/>
          <w:szCs w:val="36"/>
          <w:lang w:eastAsia="zh-CN"/>
        </w:rPr>
        <w:t>附件</w:t>
      </w:r>
      <w:r>
        <w:rPr>
          <w:rFonts w:hint="eastAsia" w:asciiTheme="minorEastAsia" w:hAnsiTheme="minorEastAsia" w:eastAsiaTheme="minorEastAsia" w:cstheme="minorEastAsia"/>
          <w:color w:val="000000"/>
          <w:w w:val="95"/>
          <w:sz w:val="36"/>
          <w:szCs w:val="36"/>
          <w:lang w:val="en-US" w:eastAsia="zh-CN"/>
        </w:rPr>
        <w:t>2</w:t>
      </w:r>
    </w:p>
    <w:p>
      <w:pPr>
        <w:pStyle w:val="8"/>
        <w:ind w:left="0" w:leftChars="0" w:firstLine="0" w:firstLineChars="0"/>
        <w:jc w:val="center"/>
        <w:rPr>
          <w:rFonts w:hint="default"/>
          <w:lang w:val="en-US" w:eastAsia="zh-CN"/>
        </w:rPr>
      </w:pPr>
      <w:r>
        <w:rPr>
          <w:rFonts w:hint="eastAsia" w:ascii="Times New Roman" w:hAnsi="Times New Roman" w:eastAsia="方正小标宋_GBK" w:cs="Times New Roman"/>
          <w:sz w:val="44"/>
          <w:szCs w:val="44"/>
          <w:lang w:val="en-US" w:eastAsia="zh-CN"/>
        </w:rPr>
        <w:t>义务教育招生入学工作问题线索管理台账</w:t>
      </w:r>
    </w:p>
    <w:p>
      <w:pPr>
        <w:pStyle w:val="8"/>
        <w:ind w:left="0" w:leftChars="0" w:firstLine="320" w:firstLineChars="100"/>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县（市）教育局（签章）：            填报人：            联系电话：</w:t>
      </w:r>
    </w:p>
    <w:tbl>
      <w:tblPr>
        <w:tblStyle w:val="14"/>
        <w:tblW w:w="12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62"/>
        <w:gridCol w:w="3503"/>
        <w:gridCol w:w="2287"/>
        <w:gridCol w:w="176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3" w:hRule="atLeast"/>
          <w:jc w:val="center"/>
        </w:trPr>
        <w:tc>
          <w:tcPr>
            <w:tcW w:w="1447"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262"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问题线索来源（含群众来信来电、上访、平台举报等）</w:t>
            </w:r>
          </w:p>
        </w:tc>
        <w:tc>
          <w:tcPr>
            <w:tcW w:w="3503"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问题线索摘要</w:t>
            </w:r>
          </w:p>
        </w:tc>
        <w:tc>
          <w:tcPr>
            <w:tcW w:w="2287"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办理情况</w:t>
            </w:r>
          </w:p>
        </w:tc>
        <w:tc>
          <w:tcPr>
            <w:tcW w:w="1764"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280" w:firstLineChars="100"/>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处理结果</w:t>
            </w:r>
          </w:p>
        </w:tc>
        <w:tc>
          <w:tcPr>
            <w:tcW w:w="937"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2262"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3503"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228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1764"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93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2262"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3503"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228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1764"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93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2262"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3503"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228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1764"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c>
          <w:tcPr>
            <w:tcW w:w="937" w:type="dxa"/>
            <w:vAlign w:val="center"/>
          </w:tcPr>
          <w:p>
            <w:pPr>
              <w:pStyle w:val="8"/>
              <w:widowControl w:val="0"/>
              <w:jc w:val="center"/>
              <w:rPr>
                <w:rFonts w:hint="eastAsia" w:ascii="方正仿宋_GBK" w:hAnsi="方正仿宋_GBK" w:eastAsia="方正仿宋_GBK" w:cs="方正仿宋_GBK"/>
                <w:sz w:val="32"/>
                <w:szCs w:val="32"/>
                <w:vertAlign w:val="baseline"/>
                <w:lang w:val="en-US" w:eastAsia="zh-CN"/>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3"/>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val="en-US" w:eastAsia="zh-CN"/>
        </w:rPr>
      </w:pPr>
      <w:r>
        <w:rPr>
          <w:rFonts w:hint="default" w:ascii="Times New Roman" w:hAnsi="Times New Roman" w:eastAsia="黑体" w:cs="Times New Roman"/>
          <w:color w:val="000000"/>
          <w:w w:val="95"/>
          <w:sz w:val="36"/>
          <w:szCs w:val="36"/>
          <w:lang w:eastAsia="zh-CN"/>
        </w:rPr>
        <w:t>附件</w:t>
      </w:r>
      <w:r>
        <w:rPr>
          <w:rFonts w:hint="eastAsia" w:asciiTheme="minorEastAsia" w:hAnsiTheme="minorEastAsia" w:eastAsiaTheme="minorEastAsia" w:cstheme="minorEastAsia"/>
          <w:color w:val="000000"/>
          <w:w w:val="95"/>
          <w:sz w:val="36"/>
          <w:szCs w:val="36"/>
          <w:lang w:val="en-US" w:eastAsia="zh-CN"/>
        </w:rPr>
        <w:t>3</w:t>
      </w:r>
    </w:p>
    <w:p>
      <w:pPr>
        <w:pStyle w:val="8"/>
        <w:ind w:left="0" w:leftChars="0" w:firstLine="0" w:firstLineChars="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义务教育阳光招生专项行动违规招生行为查处登记表</w:t>
      </w:r>
    </w:p>
    <w:p>
      <w:pPr>
        <w:pStyle w:val="8"/>
        <w:ind w:left="0" w:leftChars="0" w:firstLine="0" w:firstLineChars="0"/>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县（市）教育局（签章）：              填报人：              联系电话：</w:t>
      </w:r>
    </w:p>
    <w:tbl>
      <w:tblPr>
        <w:tblStyle w:val="14"/>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325"/>
        <w:gridCol w:w="6308"/>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2" w:hRule="atLeast"/>
        </w:trPr>
        <w:tc>
          <w:tcPr>
            <w:tcW w:w="1096" w:type="dxa"/>
          </w:tcPr>
          <w:p>
            <w:pPr>
              <w:pStyle w:val="8"/>
              <w:widowControl w:val="0"/>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325" w:type="dxa"/>
          </w:tcPr>
          <w:p>
            <w:pPr>
              <w:pStyle w:val="8"/>
              <w:widowControl w:val="0"/>
              <w:ind w:left="0" w:leftChars="0" w:firstLine="320" w:firstLineChars="100"/>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违规主体</w:t>
            </w:r>
          </w:p>
        </w:tc>
        <w:tc>
          <w:tcPr>
            <w:tcW w:w="6308" w:type="dxa"/>
          </w:tcPr>
          <w:p>
            <w:pPr>
              <w:pStyle w:val="8"/>
              <w:widowControl w:val="0"/>
              <w:ind w:left="0" w:leftChars="0" w:firstLine="2560" w:firstLineChars="800"/>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违规行为</w:t>
            </w:r>
          </w:p>
        </w:tc>
        <w:tc>
          <w:tcPr>
            <w:tcW w:w="3647" w:type="dxa"/>
          </w:tcPr>
          <w:p>
            <w:pPr>
              <w:pStyle w:val="8"/>
              <w:widowControl w:val="0"/>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查处和追责情况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2325"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6308"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c>
          <w:tcPr>
            <w:tcW w:w="3647" w:type="dxa"/>
          </w:tcPr>
          <w:p>
            <w:pPr>
              <w:pStyle w:val="8"/>
              <w:widowControl w:val="0"/>
              <w:jc w:val="center"/>
              <w:rPr>
                <w:rFonts w:hint="default"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default" w:ascii="Times New Roman" w:hAnsi="Times New Roman" w:eastAsia="黑体" w:cs="Times New Roman"/>
          <w:color w:val="000000"/>
          <w:w w:val="95"/>
          <w:sz w:val="36"/>
          <w:szCs w:val="36"/>
          <w:lang w:eastAsia="zh-CN"/>
        </w:rPr>
        <w:sectPr>
          <w:pgSz w:w="16838" w:h="11906" w:orient="landscape"/>
          <w:pgMar w:top="1417" w:right="2098" w:bottom="1417" w:left="1984"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napToGrid w:val="0"/>
          <w:spacing w:val="-6"/>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s="Times New Roman"/>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58A8F9-90DA-411F-81F0-3CF9EFFBAF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301CFA0F-4661-4C9C-BFCE-0F3A64229EC8}"/>
  </w:font>
  <w:font w:name="方正小标宋简体">
    <w:panose1 w:val="02010601030101010101"/>
    <w:charset w:val="86"/>
    <w:family w:val="auto"/>
    <w:pitch w:val="default"/>
    <w:sig w:usb0="00000001" w:usb1="080E0000" w:usb2="00000000" w:usb3="00000000" w:csb0="00040000" w:csb1="00000000"/>
    <w:embedRegular r:id="rId3" w:fontKey="{3C726446-6C02-4C83-AD7D-5CC0910B51F7}"/>
  </w:font>
  <w:font w:name="仿宋_GB2312">
    <w:panose1 w:val="02010609030101010101"/>
    <w:charset w:val="86"/>
    <w:family w:val="auto"/>
    <w:pitch w:val="default"/>
    <w:sig w:usb0="00000001" w:usb1="080E0000" w:usb2="00000000" w:usb3="00000000" w:csb0="00040000" w:csb1="00000000"/>
    <w:embedRegular r:id="rId4" w:fontKey="{13F72261-FDA4-4F54-8B36-72583769F8AC}"/>
  </w:font>
  <w:font w:name="方正仿宋_GBK">
    <w:panose1 w:val="03000509000000000000"/>
    <w:charset w:val="86"/>
    <w:family w:val="auto"/>
    <w:pitch w:val="default"/>
    <w:sig w:usb0="00000000" w:usb1="00000000" w:usb2="00000000" w:usb3="00000000" w:csb0="00000000" w:csb1="00000000"/>
    <w:embedRegular r:id="rId5" w:fontKey="{5EA7E3D6-3CA6-4612-B17D-8A809C616512}"/>
  </w:font>
  <w:font w:name="LinTimes">
    <w:altName w:val="Times New Roman"/>
    <w:panose1 w:val="02020603050405020304"/>
    <w:charset w:val="00"/>
    <w:family w:val="auto"/>
    <w:pitch w:val="default"/>
    <w:sig w:usb0="00000000" w:usb1="00000000" w:usb2="00000008" w:usb3="00000000" w:csb0="400001FF" w:csb1="FFFF0000"/>
  </w:font>
  <w:font w:name="方正大标宋简体">
    <w:panose1 w:val="02010601030101010101"/>
    <w:charset w:val="86"/>
    <w:family w:val="auto"/>
    <w:pitch w:val="default"/>
    <w:sig w:usb0="00000001" w:usb1="080E0000" w:usb2="00000000" w:usb3="00000000" w:csb0="00040000" w:csb1="00000000"/>
    <w:embedRegular r:id="rId6" w:fontKey="{29DFEE24-F7FB-4FFA-9E8C-A38D937FEFD4}"/>
  </w:font>
  <w:font w:name="楷体_GB2312">
    <w:panose1 w:val="02010609030101010101"/>
    <w:charset w:val="86"/>
    <w:family w:val="auto"/>
    <w:pitch w:val="default"/>
    <w:sig w:usb0="00000000" w:usb1="00000000" w:usb2="00000000" w:usb3="00000000" w:csb0="00000000" w:csb1="00000000"/>
    <w:embedRegular r:id="rId7" w:fontKey="{1F0A8EFE-E0B0-4F7B-B387-C9E4002C7E96}"/>
  </w:font>
  <w:font w:name="方正小标宋_GBK">
    <w:panose1 w:val="02000000000000000000"/>
    <w:charset w:val="86"/>
    <w:family w:val="auto"/>
    <w:pitch w:val="default"/>
    <w:sig w:usb0="00000000" w:usb1="00000000" w:usb2="00000000" w:usb3="00000000" w:csb0="00000000" w:csb1="00000000"/>
    <w:embedRegular r:id="rId8" w:fontKey="{E28034F2-5374-450A-99FD-642B7C8F23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2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WYxOGZlMmZkNWEzYTIzY2Y4NWRjZThlY2MzZWYifQ=="/>
  </w:docVars>
  <w:rsids>
    <w:rsidRoot w:val="196017D9"/>
    <w:rsid w:val="02937BD5"/>
    <w:rsid w:val="0A7E5DB4"/>
    <w:rsid w:val="12392521"/>
    <w:rsid w:val="16C37CE3"/>
    <w:rsid w:val="196017D9"/>
    <w:rsid w:val="20795ADC"/>
    <w:rsid w:val="2B492510"/>
    <w:rsid w:val="319A421E"/>
    <w:rsid w:val="37B97679"/>
    <w:rsid w:val="38A24A33"/>
    <w:rsid w:val="3D1D7C8C"/>
    <w:rsid w:val="3D863450"/>
    <w:rsid w:val="532A394D"/>
    <w:rsid w:val="54B03AB6"/>
    <w:rsid w:val="5B7B0AC6"/>
    <w:rsid w:val="5E001545"/>
    <w:rsid w:val="62FA06A0"/>
    <w:rsid w:val="63D26796"/>
    <w:rsid w:val="63DF6526"/>
    <w:rsid w:val="659068C4"/>
    <w:rsid w:val="9FCE96C2"/>
    <w:rsid w:val="EBBFFD10"/>
    <w:rsid w:val="F47F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Theme="minorAscii" w:hAnsiTheme="minorAscii"/>
      <w:b/>
      <w:kern w:val="44"/>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semiHidden/>
    <w:qFormat/>
    <w:uiPriority w:val="0"/>
    <w:rPr>
      <w:rFonts w:ascii="仿宋" w:hAnsi="仿宋" w:eastAsia="仿宋" w:cs="仿宋"/>
      <w:sz w:val="33"/>
      <w:szCs w:val="33"/>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qFormat/>
    <w:uiPriority w:val="0"/>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5831</Words>
  <Characters>5985</Characters>
  <Lines>0</Lines>
  <Paragraphs>0</Paragraphs>
  <TotalTime>8</TotalTime>
  <ScaleCrop>false</ScaleCrop>
  <LinksUpToDate>false</LinksUpToDate>
  <CharactersWithSpaces>6139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2024-05-09T03:39:00Z</dcterms:created>
  <dc:creator>Usain</dc:creator>
  <cp:lastModifiedBy>Administrator</cp:lastModifiedBy>
  <cp:lastPrinted>2024-05-17T00:43:00Z</cp:lastPrinted>
  <dcterms:modified xsi:type="dcterms:W3CDTF">2024-07-17T13:19:56Z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77C6D11175134CADB3B7E20944655507_11</vt:lpwstr>
  </property>
</Properties>
</file>