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  <w:t>关于《克孜勒苏柯尔克孜自治州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  <w:t>城乡燃气管理条例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  <w:t>（草案）》的起草说明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《关于印发〈自治州人大常委会2025年度立法工作计划〉的函》（克人办函〔2025〕9号）文件要求，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《克孜勒苏柯尔克孜自治州城乡燃气管理条例（草案）》（以下简称《条例（草案）》）将于2025年提请审议。为了做好立法工作，作为起草单位克州住建局（人防办）根据立法的有关规定和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《中华人民共和国安全生产法》、《中华人民共和国特种设备安全法》、国务院《城镇燃气管理条例》、《新疆维吾尔自治区城市供热供水供气管理办法》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等法律、法规，起草了《条例（草案）》。现就起草情况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具体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说明如下：</w:t>
      </w:r>
    </w:p>
    <w:p>
      <w:pPr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</w:rPr>
        <w:t>一、</w:t>
      </w:r>
      <w:r>
        <w:rPr>
          <w:rFonts w:hint="eastAsia" w:ascii="黑体" w:hAnsi="黑体" w:eastAsia="黑体" w:cs="黑体"/>
          <w:b/>
          <w:bCs/>
          <w:lang w:eastAsia="zh-CN"/>
        </w:rPr>
        <w:t>全州基本情况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截止目前，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州共有天然气公司9家（从业人数259人），液化气公司4家（从业人数47人），加气站12家（从业人数85人），全州共排查评估燃气管道1147.39公里（其中：市政燃气管道458.19公里，庭院、围楼管及立管689.2公里），天然气用气92531户，其中，阿图什市47761户（居民用户46540户、餐饮用户995户、其他用户226），阿克陶县22159户（居民用户21597户、餐饮用户442户、其他用户120户，乌恰县13925户（居民用户13344户、餐饮用户301户、其他用户280户），阿合奇县8686户（居民用户8543户、餐饮用户98户、其他用户45；液化气用气17915户，其中，阿图什市8240户（居民用户8093户、餐饮用户147户），阿克陶县6512户（居民用户6445户、餐饮用户67户)，阿合奇县3163户（居民用户3051户、餐饮用户112户)，燃气普及率达到99.85%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立法的必要性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>保障公共安全的需要。</w:t>
      </w:r>
      <w:r>
        <w:rPr>
          <w:rFonts w:hint="eastAsia" w:ascii="方正仿宋_GBK" w:hAnsi="方正仿宋_GBK" w:eastAsia="方正仿宋_GBK" w:cs="方正仿宋_GBK"/>
        </w:rPr>
        <w:t>燃气具有易燃、易爆、有毒等特性，一旦管理不善引发事故，极易造成大规模人员伤亡和财产损失。通过立法规范燃气管理，可有效预防和减少燃气安全事故的发生，切实保障人民群众的生命财产安全。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（二）规范市场秩序的要求。</w:t>
      </w:r>
      <w:r>
        <w:rPr>
          <w:rFonts w:hint="eastAsia" w:ascii="方正仿宋_GBK" w:hAnsi="方正仿宋_GBK" w:eastAsia="方正仿宋_GBK" w:cs="方正仿宋_GBK"/>
        </w:rPr>
        <w:t>当前</w:t>
      </w:r>
      <w:r>
        <w:rPr>
          <w:rFonts w:hint="eastAsia" w:ascii="方正仿宋_GBK" w:hAnsi="方正仿宋_GBK" w:eastAsia="方正仿宋_GBK" w:cs="方正仿宋_GBK"/>
          <w:lang w:eastAsia="zh-CN"/>
        </w:rPr>
        <w:t>克州</w:t>
      </w:r>
      <w:r>
        <w:rPr>
          <w:rFonts w:hint="eastAsia" w:ascii="方正仿宋_GBK" w:hAnsi="方正仿宋_GBK" w:eastAsia="方正仿宋_GBK" w:cs="方正仿宋_GBK"/>
        </w:rPr>
        <w:t>燃气经营市场存在诸多乱象，严重影响了行业的公平竞争和健康发展。制定条例能够明确燃气经营企业的准入门槛、经营行为规范以及监管部门的职责权限，有力打击非法经营活动，维护市场的正常秩序。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（三）促进燃气行业可持续发展。</w:t>
      </w:r>
      <w:r>
        <w:rPr>
          <w:rFonts w:hint="eastAsia" w:ascii="方正仿宋_GBK" w:hAnsi="方正仿宋_GBK" w:eastAsia="方正仿宋_GBK" w:cs="方正仿宋_GBK"/>
        </w:rPr>
        <w:t>随着</w:t>
      </w:r>
      <w:r>
        <w:rPr>
          <w:rFonts w:hint="eastAsia" w:ascii="方正仿宋_GBK" w:hAnsi="方正仿宋_GBK" w:eastAsia="方正仿宋_GBK" w:cs="方正仿宋_GBK"/>
          <w:lang w:eastAsia="zh-CN"/>
        </w:rPr>
        <w:t>克州</w:t>
      </w:r>
      <w:r>
        <w:rPr>
          <w:rFonts w:hint="eastAsia" w:ascii="方正仿宋_GBK" w:hAnsi="方正仿宋_GBK" w:eastAsia="方正仿宋_GBK" w:cs="方正仿宋_GBK"/>
        </w:rPr>
        <w:t>城市化进程的加速，燃气需求持续增长。科学合理的立法能够为燃气行业的规划、建设、运营等提供明确的指导和依据，引导行业朝着安全、高效、环保的方向发展，实现与城市建设的协调共进。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24"/>
          <w:lang w:val="en-US" w:eastAsia="zh-CN" w:bidi="ar-SA"/>
        </w:rPr>
        <w:t>三、起草的主要思路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《</w:t>
      </w:r>
      <w:r>
        <w:rPr>
          <w:rFonts w:hint="default" w:ascii="方正仿宋_GBK" w:hAnsi="方正仿宋_GBK" w:eastAsia="方正仿宋_GBK" w:cs="方正仿宋_GBK"/>
          <w:color w:val="auto"/>
          <w:lang w:val="en-US" w:eastAsia="zh-CN"/>
        </w:rPr>
        <w:t>条例（草案）》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主要从城乡燃气规划建设、经营服务、燃气使用、设施保护与事故处置、监督管理和法律责任等方面进行起草，通过详细阐述，明确县级以上人民政府、燃气管理部门及相关部门职责，统筹燃气事业发展，明确燃气供应企业的安全管理规范，保障燃气安全稳定供应；明确燃气用户用气规范，加强燃气供应企业保障责任；健全燃气设施保护机制，防范燃气设施安全事故；进一步明确法律责任，加大处罚力度，进一步提高城乡燃气</w:t>
      </w:r>
      <w:r>
        <w:rPr>
          <w:rFonts w:hint="eastAsia" w:ascii="方正仿宋_GBK" w:hAnsi="方正仿宋_GBK" w:eastAsia="方正仿宋_GBK" w:cs="方正仿宋_GBK"/>
          <w:color w:val="auto"/>
        </w:rPr>
        <w:t>行业健康、有序、可持续发展。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1"/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b/>
          <w:bCs/>
          <w:color w:val="auto"/>
          <w:kern w:val="0"/>
          <w:sz w:val="32"/>
          <w:szCs w:val="32"/>
          <w:lang w:val="en-US" w:eastAsia="zh-CN"/>
        </w:rPr>
        <w:t>主要依据。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《中华人民共和国安全生产法》、《中华人民共和国特种设备安全法》、国务院《城镇燃气管理条例》、《新疆维吾尔自治区城市供热供水供气管理办法》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等法律、法规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，结合自治州实际，起草了《条例（草案）》。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二是成立起草领导小组。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为确保立法起草工作顺利开展，202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年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月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17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日，克州住建局（人防办）成立了领导小组，抽调人员组成起草小组，强化了组织领导，明确了责任分工。制定了《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克孜勒苏柯尔克孜自治州城乡燃气管理条例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〉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起草工作实施方案》，明确了具体工作步骤和时间安排，提出工作要求，保障了工作有序推进。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三是广泛开展调研。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结合实际制定《调研提纲》，分发各县市收集资料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，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并于2023年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月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11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日--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月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15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日期间赴县市开展实地专题调研工作，听取现行机制下存在的主要问题、焦点难点方面以及意见建议。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征求意见建议</w:t>
      </w: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为收集各方面对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《条例（草案）》</w:t>
      </w:r>
      <w:r>
        <w:rPr>
          <w:rFonts w:hint="eastAsia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的意见建议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，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通过2025年3月17日在网站公布征求意见，并于3月20日致函州发改、工信、市场监管、应急管理、公安、交通运输、自然资源、财政、商务、教育、文旅、民政、卫健、农业农村、司法、人大、消防救援以及各县（市）人民政府和住建局征求意见，可采纳的都在《条例（草案）》中予以修订，不予采纳的给予解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是起草《条例》初稿。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在广泛调查研究、征求意见建议的基础上，吸取疆外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河北省、天津市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及疆内乌鲁木齐市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" w:eastAsia="zh-CN"/>
        </w:rPr>
        <w:t>、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" w:eastAsia="zh-CN"/>
        </w:rPr>
        <w:t>巴州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等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" w:eastAsia="zh-CN"/>
        </w:rPr>
        <w:t>地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近几年开展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城镇燃气管理条例立法工作城市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的经验，结合自治州的实际情况开展起草工作，为《条例（草案）》的最终确定和后续工作的开展奠定了基础。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1616" w:footer="161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771FE"/>
    <w:multiLevelType w:val="multilevel"/>
    <w:tmpl w:val="99F771FE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color w:val="auto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DFF2B24"/>
    <w:multiLevelType w:val="singleLevel"/>
    <w:tmpl w:val="5DFF2B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F2E25"/>
    <w:rsid w:val="03E35167"/>
    <w:rsid w:val="04E504F4"/>
    <w:rsid w:val="117F2E25"/>
    <w:rsid w:val="12A33E76"/>
    <w:rsid w:val="13143636"/>
    <w:rsid w:val="17E921FE"/>
    <w:rsid w:val="18422865"/>
    <w:rsid w:val="1FD17BCD"/>
    <w:rsid w:val="1FEF493C"/>
    <w:rsid w:val="21360CC9"/>
    <w:rsid w:val="3A971AC2"/>
    <w:rsid w:val="3AD228FC"/>
    <w:rsid w:val="525D0D3D"/>
    <w:rsid w:val="544F2BA4"/>
    <w:rsid w:val="561B6263"/>
    <w:rsid w:val="5632234B"/>
    <w:rsid w:val="5BE670DD"/>
    <w:rsid w:val="5FC71299"/>
    <w:rsid w:val="66286395"/>
    <w:rsid w:val="66F02F67"/>
    <w:rsid w:val="70F13003"/>
    <w:rsid w:val="79C40542"/>
    <w:rsid w:val="7CA86C72"/>
    <w:rsid w:val="7E591662"/>
    <w:rsid w:val="DF03DB5C"/>
    <w:rsid w:val="EFBA6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100" w:after="100" w:afterLines="100" w:line="400" w:lineRule="exact"/>
      <w:ind w:firstLine="883" w:firstLineChars="200"/>
      <w:jc w:val="center"/>
      <w:outlineLvl w:val="0"/>
    </w:pPr>
    <w:rPr>
      <w:rFonts w:eastAsia="黑体" w:asciiTheme="majorAscii" w:hAnsiTheme="majorAscii" w:cstheme="majorBidi"/>
      <w:b/>
      <w:color w:val="2E75B6" w:themeColor="accent1" w:themeShade="BF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00" w:beforeLines="100" w:after="100" w:afterLines="100" w:line="400" w:lineRule="exact"/>
      <w:ind w:left="0" w:firstLine="883" w:firstLineChars="200"/>
      <w:outlineLvl w:val="1"/>
    </w:pPr>
    <w:rPr>
      <w:rFonts w:eastAsia="宋体"/>
      <w:b/>
      <w:bCs/>
      <w:sz w:val="28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Autospacing="0" w:afterAutospacing="0" w:line="400" w:lineRule="exact"/>
      <w:ind w:firstLine="883" w:firstLineChars="200"/>
      <w:jc w:val="left"/>
      <w:outlineLvl w:val="2"/>
    </w:pPr>
    <w:rPr>
      <w:rFonts w:hint="eastAsia" w:ascii="宋体" w:hAnsi="宋体" w:cs="宋体"/>
      <w:b/>
      <w:bCs/>
      <w:kern w:val="0"/>
      <w:szCs w:val="27"/>
      <w:lang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34"/>
    <w:pPr>
      <w:spacing w:line="360" w:lineRule="auto"/>
      <w:ind w:firstLine="420" w:firstLineChars="200"/>
    </w:pPr>
    <w:rPr>
      <w:rFonts w:ascii="Calibri" w:hAnsi="Calibri"/>
    </w:rPr>
  </w:style>
  <w:style w:type="paragraph" w:styleId="6">
    <w:name w:val="Body Text Indent"/>
    <w:basedOn w:val="1"/>
    <w:unhideWhenUsed/>
    <w:qFormat/>
    <w:uiPriority w:val="99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11"/>
    <w:link w:val="3"/>
    <w:qFormat/>
    <w:uiPriority w:val="0"/>
    <w:rPr>
      <w:rFonts w:eastAsia="黑体" w:asciiTheme="majorAscii" w:hAnsiTheme="majorAscii" w:cstheme="majorBidi"/>
      <w:b/>
      <w:color w:val="2E75B6" w:themeColor="accent1" w:themeShade="BF"/>
      <w:sz w:val="32"/>
      <w:szCs w:val="48"/>
    </w:rPr>
  </w:style>
  <w:style w:type="character" w:customStyle="1" w:styleId="13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2024-12-13T22:08:00Z</dcterms:created>
  <dc:creator>Administrator</dc:creator>
  <cp:lastModifiedBy>Lenovo</cp:lastModifiedBy>
  <cp:lastPrinted>2025-03-20T20:37:00Z</cp:lastPrinted>
  <dcterms:modified xsi:type="dcterms:W3CDTF">2025-04-11T10:47:08Z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