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3"/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耕地质量等级变更调查数据过录表（202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年度）</w:t>
      </w:r>
    </w:p>
    <w:p>
      <w:pPr>
        <w:widowControl/>
        <w:spacing w:line="240" w:lineRule="auto"/>
        <w:ind w:firstLine="300" w:firstLineChars="1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填报单位（公章）：***地（州、市）农业农村局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填报人：         联系电话：</w:t>
      </w:r>
    </w:p>
    <w:tbl>
      <w:tblPr>
        <w:tblStyle w:val="5"/>
        <w:tblW w:w="141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69" w:hRule="atLeast"/>
          <w:jc w:val="center"/>
        </w:trPr>
        <w:tc>
          <w:tcPr>
            <w:tcW w:w="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地州市名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县（区、市、农场）名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乡镇名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村名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采样年份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经度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纬度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土类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亚类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土属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土种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成土母质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地貌类型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地形部位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海拔高度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田面坡度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有效土层厚度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耕层厚度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耕层质地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耕层土壤容重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质地构型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常年耕作制度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熟制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生物多样性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农田林网化程度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清洁程度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地膜残留量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土壤pH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耕层土壤含盐量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盐渍化程度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盐化类型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地下水埋深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障碍因素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障碍层类型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障碍层深度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障碍层厚度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灌溉能力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灌溉方式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排水能力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全氮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有机质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碱解氮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有效磷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速效钾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有效铜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有效铁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有效锌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有效锰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有效硼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有效硅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有效硫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有效钼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缓效钾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砷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汞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铬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铅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镉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主载作物名称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年产量</w:t>
            </w:r>
          </w:p>
        </w:tc>
        <w:tc>
          <w:tcPr>
            <w:tcW w:w="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农户名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14" w:hRule="atLeast"/>
          <w:jc w:val="center"/>
        </w:trPr>
        <w:tc>
          <w:tcPr>
            <w:tcW w:w="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4" w:hRule="atLeast"/>
          <w:jc w:val="center"/>
        </w:trPr>
        <w:tc>
          <w:tcPr>
            <w:tcW w:w="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leftChars="0" w:right="113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113" w:leftChars="0" w:right="113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16"/>
          <w:szCs w:val="16"/>
          <w:u w:val="none"/>
          <w:lang w:val="en-US" w:eastAsia="zh-CN" w:bidi="ar"/>
        </w:rPr>
        <w:t>注：1.统一编号：测土配方施肥统一规定的19位编码；2.经纬度根据GPS定位信息填写，保留小数点后五位，填报时统一转换为西安80坐标系；3.地貌类型：填写大地貌类型，山地、盆地、丘陵、平原、高原；4.种植制度为一年一熟、一年两熟等；5.作物名称按照熟制、顺序填写；6.产量数据按照实际情况，尽可能填写，不可抗力未获取的不填写，有几季尽可能填几季，可加行；7.农田林网化程度：是农田四周的林带保护面积与农田总面积之比，对农田及周边小气候、防风固沙、缓解污染等方面起到重要作用。填高、中、低；8.土类：土壤分类命名采用全国第二次土壤普查时的修正稿（GB-17296-2009），表格上记载的土壤名称应与土壤图一致；9.若有指标未填写，视为无监测数据；10.取土需在作物收获后或前茬作物已经基本完成生育过程，下茬作物还没有施肥前进行，遵循随机、等量和多点混合的原则，科学规范采集土壤样品，原则上混合采样点数量10-15个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5E00"/>
    <w:multiLevelType w:val="singleLevel"/>
    <w:tmpl w:val="68885E00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D1B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2025-07-29T05:31:45Z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