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uto"/>
        <w:jc w:val="left"/>
        <w:rPr>
          <w:rFonts w:ascii="仿宋" w:hAnsi="仿宋" w:eastAsia="仿宋"/>
          <w:b/>
          <w:kern w:val="0"/>
          <w:szCs w:val="32"/>
        </w:rPr>
      </w:pPr>
      <w:r>
        <w:rPr>
          <w:rFonts w:hint="eastAsia" w:ascii="仿宋" w:hAnsi="仿宋" w:eastAsia="仿宋"/>
          <w:b/>
          <w:kern w:val="0"/>
          <w:szCs w:val="32"/>
        </w:rPr>
        <w:t>附件1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spacing w:val="20"/>
          <w:sz w:val="44"/>
          <w:szCs w:val="44"/>
        </w:rPr>
      </w:pPr>
      <w:r>
        <w:rPr>
          <w:rFonts w:hint="eastAsia" w:ascii="黑体" w:hAnsi="黑体" w:eastAsia="黑体"/>
          <w:b/>
          <w:spacing w:val="20"/>
          <w:sz w:val="44"/>
          <w:szCs w:val="44"/>
        </w:rPr>
        <w:t>食品安全监督抽检不合格信息</w:t>
      </w:r>
    </w:p>
    <w:p>
      <w:pPr>
        <w:adjustRightInd w:val="0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本次抽检的食用农产品包括畜禽肉及副产品、蔬菜类、水果类、水产品、鲜蛋以及生干坚果和籽类食品等。</w:t>
      </w:r>
    </w:p>
    <w:p>
      <w:pPr>
        <w:adjustRightInd w:val="0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抽检依据是食用农产品抽检依据是农业部公告第235号、农业部公告第2292号、整顿办函〔2010〕50号、GB 2762-2017《食品安全国家标准 食品中污染物限量》、GB 2763-2016《食品安全国家标准 食品中农药最大残留量》等标准及产品明示标准和指标要求。</w:t>
      </w:r>
    </w:p>
    <w:p>
      <w:pPr>
        <w:adjustRightInd w:val="0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抽检项目包括总砷等污染物、毒死蜱等农药残留、硝基呋喃代谢物等兽药残留等51个指标。共抽检克州行政范围内17家企业的42批次食用农产品。</w:t>
      </w:r>
    </w:p>
    <w:p>
      <w:pPr>
        <w:adjustRightInd w:val="0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本次抽检的餐饮食品包括酱卤肉、肉灌肠、其他熟肉(自制)，发酵面制品(自制)，油炸面制品(自制)，火锅调味料(底料、蘸料)(自制)，熏烧烤肉制品(餐饮)，其他米面制品(餐饮)，其他调味品(餐饮)等。</w:t>
      </w:r>
    </w:p>
    <w:p>
      <w:pPr>
        <w:adjustRightInd w:val="0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抽检依据是GB 2760-2014《食品安全国家标准 食品添加剂使用标准》，GB 2762-2017《食品安全国家标准 食品中污染物限量》，卫生部、国家食品药品监督管理局公告2012年第10号，食品整治办〔2008〕3号，卫生部公告〔2011〕4号等标准及产品明示标准和指标要求。</w:t>
      </w:r>
    </w:p>
    <w:p>
      <w:pPr>
        <w:adjustRightInd w:val="0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抽检项目包括苯并(α)芘等污染物，苯甲酸及其钠盐等食品添加剂，苏丹红Ⅰ-Ⅳ等非食用物质等共27个指标，共抽检克州行政范围内12家企业的20批次餐饮食品。</w:t>
      </w:r>
    </w:p>
    <w:p>
      <w:pPr>
        <w:adjustRightInd w:val="0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其中：检出不合格食品1批次，检出不合格的检测项目为氧乐果。</w:t>
      </w:r>
    </w:p>
    <w:p>
      <w:pPr>
        <w:adjustRightInd w:val="0"/>
        <w:ind w:firstLine="64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产品不合格信息见附表。</w:t>
      </w:r>
    </w:p>
    <w:p>
      <w:pPr>
        <w:adjustRightInd w:val="0"/>
        <w:ind w:firstLine="640" w:firstLineChars="200"/>
        <w:rPr>
          <w:rFonts w:hint="eastAsia" w:ascii="仿宋" w:hAnsi="仿宋" w:eastAsia="仿宋"/>
        </w:rPr>
      </w:pPr>
    </w:p>
    <w:p>
      <w:pPr>
        <w:adjustRightInd w:val="0"/>
        <w:ind w:firstLine="640" w:firstLineChars="200"/>
        <w:rPr>
          <w:rFonts w:hint="eastAsia" w:ascii="仿宋" w:hAnsi="仿宋" w:eastAsia="仿宋"/>
        </w:rPr>
      </w:pPr>
    </w:p>
    <w:p>
      <w:pPr>
        <w:adjustRightInd w:val="0"/>
        <w:ind w:firstLine="640" w:firstLineChars="200"/>
        <w:rPr>
          <w:rFonts w:hint="eastAsia" w:ascii="仿宋" w:hAnsi="仿宋" w:eastAsia="仿宋"/>
        </w:rPr>
      </w:pPr>
    </w:p>
    <w:p>
      <w:pPr>
        <w:adjustRightInd w:val="0"/>
        <w:ind w:firstLine="640" w:firstLineChars="200"/>
        <w:rPr>
          <w:rFonts w:hint="eastAsia" w:ascii="仿宋" w:hAnsi="仿宋" w:eastAsia="仿宋"/>
        </w:rPr>
      </w:pPr>
    </w:p>
    <w:p>
      <w:pPr>
        <w:adjustRightInd w:val="0"/>
        <w:ind w:firstLine="640" w:firstLineChars="200"/>
        <w:rPr>
          <w:rFonts w:hint="eastAsia" w:ascii="仿宋" w:hAnsi="仿宋" w:eastAsia="仿宋"/>
        </w:rPr>
      </w:pPr>
    </w:p>
    <w:p>
      <w:pPr>
        <w:adjustRightInd w:val="0"/>
        <w:ind w:firstLine="640" w:firstLineChars="200"/>
        <w:rPr>
          <w:rFonts w:hint="eastAsia" w:ascii="仿宋" w:hAnsi="仿宋" w:eastAsia="仿宋"/>
        </w:rPr>
      </w:pPr>
    </w:p>
    <w:p>
      <w:pPr>
        <w:adjustRightInd w:val="0"/>
        <w:ind w:firstLine="640" w:firstLineChars="200"/>
        <w:rPr>
          <w:rFonts w:hint="eastAsia" w:ascii="仿宋" w:hAnsi="仿宋" w:eastAsia="仿宋"/>
        </w:rPr>
      </w:pPr>
    </w:p>
    <w:p>
      <w:pPr>
        <w:pageBreakBefore/>
        <w:adjustRightInd w:val="0"/>
        <w:snapToGrid w:val="0"/>
        <w:spacing w:line="360" w:lineRule="auto"/>
        <w:jc w:val="left"/>
        <w:rPr>
          <w:rFonts w:ascii="仿宋" w:hAnsi="仿宋" w:eastAsia="仿宋"/>
          <w:spacing w:val="20"/>
          <w:sz w:val="44"/>
          <w:szCs w:val="44"/>
        </w:rPr>
      </w:pPr>
      <w:r>
        <w:rPr>
          <w:rFonts w:hint="eastAsia" w:ascii="仿宋" w:hAnsi="仿宋" w:eastAsia="仿宋"/>
        </w:rPr>
        <w:t>附表</w:t>
      </w:r>
    </w:p>
    <w:p>
      <w:pPr>
        <w:adjustRightInd w:val="0"/>
        <w:snapToGrid w:val="0"/>
        <w:spacing w:line="440" w:lineRule="exact"/>
        <w:jc w:val="center"/>
        <w:rPr>
          <w:rFonts w:ascii="仿宋" w:hAnsi="仿宋" w:eastAsia="仿宋"/>
          <w:spacing w:val="20"/>
          <w:szCs w:val="32"/>
        </w:rPr>
      </w:pPr>
      <w:r>
        <w:rPr>
          <w:rFonts w:hint="eastAsia" w:ascii="仿宋" w:hAnsi="仿宋" w:eastAsia="仿宋"/>
          <w:b/>
          <w:spacing w:val="20"/>
          <w:sz w:val="44"/>
          <w:szCs w:val="44"/>
        </w:rPr>
        <w:t>食品安全监督抽检不合格产品信息</w:t>
      </w:r>
    </w:p>
    <w:tbl>
      <w:tblPr>
        <w:tblStyle w:val="5"/>
        <w:tblW w:w="156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993"/>
        <w:gridCol w:w="992"/>
        <w:gridCol w:w="1559"/>
        <w:gridCol w:w="1825"/>
        <w:gridCol w:w="993"/>
        <w:gridCol w:w="1123"/>
        <w:gridCol w:w="1021"/>
        <w:gridCol w:w="1134"/>
        <w:gridCol w:w="1105"/>
        <w:gridCol w:w="1134"/>
        <w:gridCol w:w="993"/>
        <w:gridCol w:w="14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被抽样单位地址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食品名称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规格型号║等级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商标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生产日期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不合格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检验结果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标准值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检验机构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NCP19653000316400067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/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乌恰县湘缘粮油蔬菜店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新疆克州乌恰县金鑫购物广场负三号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豇豆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2019年9月9日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氧乐果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0.39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mg/kg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≤0.02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mg/kg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绿城农科检测技术有限公司</w:t>
            </w:r>
          </w:p>
        </w:tc>
      </w:tr>
    </w:tbl>
    <w:p>
      <w:pPr>
        <w:widowControl/>
        <w:adjustRightInd w:val="0"/>
        <w:jc w:val="left"/>
        <w:rPr>
          <w:rFonts w:ascii="仿宋" w:hAnsi="仿宋" w:eastAsia="仿宋"/>
          <w:b/>
          <w:kern w:val="0"/>
          <w:szCs w:val="32"/>
        </w:rPr>
      </w:pPr>
    </w:p>
    <w:p>
      <w:pPr>
        <w:widowControl/>
        <w:adjustRightInd w:val="0"/>
        <w:jc w:val="left"/>
        <w:rPr>
          <w:rFonts w:ascii="仿宋" w:hAnsi="仿宋" w:eastAsia="仿宋"/>
          <w:b/>
          <w:kern w:val="0"/>
          <w:szCs w:val="32"/>
        </w:rPr>
      </w:pPr>
    </w:p>
    <w:p>
      <w:pPr>
        <w:widowControl/>
        <w:adjustRightInd w:val="0"/>
        <w:jc w:val="left"/>
        <w:rPr>
          <w:rFonts w:ascii="仿宋" w:hAnsi="仿宋" w:eastAsia="仿宋"/>
          <w:b/>
          <w:kern w:val="0"/>
          <w:szCs w:val="32"/>
        </w:rPr>
      </w:pPr>
    </w:p>
    <w:p>
      <w:pPr>
        <w:widowControl/>
        <w:adjustRightInd w:val="0"/>
        <w:jc w:val="left"/>
        <w:rPr>
          <w:rFonts w:ascii="仿宋" w:hAnsi="仿宋" w:eastAsia="仿宋"/>
          <w:b/>
          <w:kern w:val="0"/>
          <w:szCs w:val="32"/>
        </w:rPr>
      </w:pPr>
    </w:p>
    <w:p>
      <w:pPr>
        <w:widowControl/>
        <w:adjustRightInd w:val="0"/>
        <w:jc w:val="left"/>
        <w:rPr>
          <w:rFonts w:ascii="仿宋" w:hAnsi="仿宋" w:eastAsia="仿宋"/>
          <w:b/>
          <w:kern w:val="0"/>
          <w:szCs w:val="32"/>
        </w:rPr>
      </w:pPr>
    </w:p>
    <w:p>
      <w:pPr>
        <w:adjustRightInd w:val="0"/>
        <w:ind w:firstLine="640" w:firstLineChars="200"/>
        <w:rPr>
          <w:rFonts w:hint="eastAsia" w:ascii="仿宋" w:hAnsi="仿宋" w:eastAsia="仿宋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310CE"/>
    <w:rsid w:val="4D071E4B"/>
    <w:rsid w:val="7D93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2019-10-30T14:11:00Z</dcterms:created>
  <dc:creator>rxl</dc:creator>
  <cp:lastModifiedBy>rxl</cp:lastModifiedBy>
  <dcterms:modified xsi:type="dcterms:W3CDTF">2019-10-30T14:12:18Z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