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企业事业单位突发环境事件应急预案备案表</w:t>
      </w:r>
    </w:p>
    <w:tbl>
      <w:tblPr>
        <w:tblStyle w:val="2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60"/>
        <w:gridCol w:w="3240"/>
        <w:gridCol w:w="1341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中石化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新疆喀什石油分公司阿克陶县绿洲加油站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机构代码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91653100766823959R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王敬荣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陈丰霞</w:t>
            </w:r>
            <w:bookmarkStart w:id="0" w:name="_GoBack"/>
            <w:bookmarkEnd w:id="0"/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/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克州阿克陶县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预案名称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中石化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新疆喀什石油分公司阿克陶县绿洲加油站突发环境事件应急预案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风险级别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一般风险L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突发环境事件应急预案备案文件目录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 w:ascii="宋体" w:hAnsi="宋体"/>
              </w:rPr>
              <w:t>突发环境事件应急预案备案表；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 w:ascii="宋体" w:hAnsi="宋体"/>
              </w:rPr>
              <w:t>环境应急预案及编制说明；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 w:ascii="宋体" w:hAnsi="宋体"/>
              </w:rPr>
              <w:t>环境风险评估报告；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 w:ascii="宋体" w:hAnsi="宋体"/>
              </w:rPr>
              <w:t>环境应急预资源调查报告；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5.</w:t>
            </w:r>
            <w:r>
              <w:rPr>
                <w:rFonts w:hint="eastAsia" w:ascii="宋体" w:hAnsi="宋体"/>
              </w:rPr>
              <w:t>环境应急预案评审意见。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备案意见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239" w:leftChars="114"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left="719" w:leftChars="228" w:hanging="240" w:hanging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该单位的突发环境事件应急预案备案文件已于2022年3月26日收讫，文本齐全，予以备案。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备案受理部门（公章）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2022年3月 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备案编号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黑体_GBK" w:hAnsi="方正黑体_GBK"/>
                <w:b/>
                <w:bCs/>
                <w:sz w:val="28"/>
                <w:szCs w:val="28"/>
              </w:rPr>
              <w:t>653022-2022-003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报送单位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黑体_GBK" w:hAnsi="方正黑体_GBK"/>
                <w:sz w:val="28"/>
                <w:szCs w:val="28"/>
              </w:rPr>
            </w:pPr>
            <w:r>
              <w:rPr>
                <w:rFonts w:hint="eastAsia" w:ascii="方正黑体_GBK" w:hAnsi="方正黑体_GBK"/>
                <w:b/>
                <w:bCs/>
                <w:sz w:val="28"/>
                <w:szCs w:val="28"/>
                <w:lang w:eastAsia="zh-CN"/>
              </w:rPr>
              <w:t>中石化</w:t>
            </w:r>
            <w:r>
              <w:rPr>
                <w:rFonts w:hint="eastAsia" w:ascii="方正黑体_GBK" w:hAnsi="方正黑体_GBK"/>
                <w:b/>
                <w:bCs/>
                <w:sz w:val="28"/>
                <w:szCs w:val="28"/>
              </w:rPr>
              <w:t>新疆喀什石油分公司阿克陶县绿洲加油站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受理部门负责人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CE8"/>
    <w:rsid w:val="003E7543"/>
    <w:rsid w:val="007139A2"/>
    <w:rsid w:val="00B955D0"/>
    <w:rsid w:val="00C210BE"/>
    <w:rsid w:val="00C21CE8"/>
    <w:rsid w:val="199D3393"/>
    <w:rsid w:val="2945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365</Characters>
  <Lines>3</Lines>
  <Paragraphs>1</Paragraphs>
  <TotalTime>0</TotalTime>
  <ScaleCrop>false</ScaleCrop>
  <LinksUpToDate>false</LinksUpToDate>
  <CharactersWithSpaces>428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2022-03-23T06:40:00Z</dcterms:created>
  <dc:creator>dreamsummit</dc:creator>
  <cp:lastModifiedBy>BGS-TY-13</cp:lastModifiedBy>
  <dcterms:modified xsi:type="dcterms:W3CDTF">2022-06-09T11:28:09Z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