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578" w:lineRule="exact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lang w:val="en-US" w:eastAsia="zh-CN"/>
        </w:rPr>
        <w:t>附件</w:t>
      </w:r>
    </w:p>
    <w:p>
      <w:pPr>
        <w:widowControl w:val="0"/>
        <w:spacing w:beforeLines="0" w:afterLines="0" w:line="578" w:lineRule="exact"/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widowControl w:val="0"/>
        <w:spacing w:beforeLines="0" w:afterLines="0" w:line="578" w:lineRule="exact"/>
        <w:jc w:val="center"/>
        <w:rPr>
          <w:rFonts w:hint="eastAsia" w:ascii="方正小标宋_GBK" w:hAnsi="方正小标宋_GBK" w:eastAsia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决定废止的行政规范性文件目录</w:t>
      </w:r>
    </w:p>
    <w:p>
      <w:pPr>
        <w:widowControl w:val="0"/>
        <w:spacing w:beforeLines="0" w:afterLines="0" w:line="578" w:lineRule="exact"/>
        <w:jc w:val="center"/>
        <w:rPr>
          <w:rFonts w:hint="eastAsia" w:ascii="方正小标宋_GBK" w:hAnsi="方正小标宋_GBK" w:eastAsia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（共6件）</w:t>
      </w:r>
    </w:p>
    <w:p>
      <w:pPr>
        <w:widowControl w:val="0"/>
        <w:spacing w:beforeLines="0" w:afterLines="0" w:line="578" w:lineRule="exact"/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.《自治州职业培训补贴（暂行）办法》（克人社规发〔</w:t>
      </w:r>
      <w:r>
        <w:rPr>
          <w:rFonts w:hint="eastAsia" w:ascii="宋体" w:hAnsi="宋体"/>
          <w:sz w:val="32"/>
          <w:lang w:val="en-US" w:eastAsia="zh-CN"/>
        </w:rPr>
        <w:t>2021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.《关于将肺结核纳入克州城乡居民医疗保险特殊报销范围内的通知》（克人社发〔</w:t>
      </w:r>
      <w:r>
        <w:rPr>
          <w:rFonts w:hint="eastAsia" w:ascii="宋体" w:hAnsi="宋体"/>
          <w:sz w:val="32"/>
          <w:lang w:val="en-US" w:eastAsia="zh-CN"/>
        </w:rPr>
        <w:t>2018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98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.《关于调整城镇职工大额补充定疗保险缴费标准和起付线的通知》（克人社发〔</w:t>
      </w:r>
      <w:r>
        <w:rPr>
          <w:rFonts w:hint="eastAsia" w:ascii="宋体" w:hAnsi="宋体"/>
          <w:sz w:val="32"/>
          <w:lang w:val="en-US" w:eastAsia="zh-CN"/>
        </w:rPr>
        <w:t>2018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60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.《关于克州城镇职工个人不再缴纳大病医疗保险费的通知》（克人社发〔</w:t>
      </w:r>
      <w:r>
        <w:rPr>
          <w:rFonts w:hint="eastAsia" w:ascii="宋体" w:hAnsi="宋体"/>
          <w:sz w:val="32"/>
          <w:lang w:val="en-US" w:eastAsia="zh-CN"/>
        </w:rPr>
        <w:t>2017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47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.《关于进一步加强城乡居民大病保险工作的通知》（克人社发〔</w:t>
      </w:r>
      <w:r>
        <w:rPr>
          <w:rFonts w:hint="eastAsia" w:ascii="宋体" w:hAnsi="宋体"/>
          <w:sz w:val="32"/>
          <w:lang w:val="en-US" w:eastAsia="zh-CN"/>
        </w:rPr>
        <w:t>2016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292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widowControl w:val="0"/>
        <w:spacing w:beforeLines="0" w:afterLines="0" w:line="578" w:lineRule="exact"/>
        <w:ind w:firstLine="640" w:firstLineChars="200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.《关于调整离休人员医疗门诊费的通知》（克人社发〔</w:t>
      </w:r>
      <w:r>
        <w:rPr>
          <w:rFonts w:hint="eastAsia" w:ascii="宋体" w:hAnsi="宋体"/>
          <w:sz w:val="32"/>
          <w:lang w:val="en-US" w:eastAsia="zh-CN"/>
        </w:rPr>
        <w:t>2019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〕</w:t>
      </w:r>
      <w:r>
        <w:rPr>
          <w:rFonts w:hint="eastAsia" w:ascii="宋体" w:hAnsi="宋体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/>
          <w:sz w:val="32"/>
          <w:lang w:val="en-US" w:eastAsia="zh-CN"/>
        </w:rPr>
        <w:t>号）</w:t>
      </w:r>
    </w:p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02FF"/>
    <w:rsid w:val="442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2025-05-30T05:46:00Z</dcterms:created>
  <dc:creator>NTKO</dc:creator>
  <cp:lastModifiedBy>NTKO</cp:lastModifiedBy>
  <dcterms:modified xsi:type="dcterms:W3CDTF">2025-05-30T05:46:57Z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