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4"/>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4"/>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z w:val="44"/>
          <w:szCs w:val="44"/>
        </w:rPr>
      </w:pPr>
      <w:bookmarkStart w:id="0" w:name="_GoBack"/>
      <w:bookmarkEnd w:id="0"/>
      <w:r>
        <w:rPr>
          <w:rStyle w:val="4"/>
          <w:rFonts w:hint="eastAsia" w:ascii="方正小标宋简体" w:hAnsi="方正小标宋简体" w:eastAsia="方正小标宋简体" w:cs="方正小标宋简体"/>
          <w:color w:val="333333"/>
          <w:kern w:val="0"/>
          <w:sz w:val="44"/>
          <w:szCs w:val="44"/>
          <w:lang w:val="en-US" w:eastAsia="zh-CN" w:bidi="ar"/>
        </w:rPr>
        <w:t>国家发展改革委关于第三监管周期省级电网输配电价及有关事项的通知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发改价格〔2023〕526号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各省、自治区、直辖市发展改革委，国家电网有限公司、中国南方电网有限责任公司、内蒙古电力（集团）有限责任公司：</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  为进一步深化输配电价改革，更好保障电力安全稳定供应，推动电力行业高质量发展，现就第三监管周期省级电网输配电价及有关事项通知如下：</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  一、按照《国家发展改革委 国家能源局关于印发&lt;输配电定价成本监审办法&gt;的通知》（发改价格规〔2019〕897号）、《国家发展改革委关于印发&lt;省级电网输配电价定价办法&gt;的通知》（发改价格规〔2020〕101号）及有关规定，核定第三监管周期各省级电网输配电价，具体见附件。</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二、用户用电价格逐步归并为居民生活、农业生产及工商业用电（除执行居民生活和农业生产用电价格以外的用电）三类；尚未实现工商业同价的地方，用户用电价格可分为居民生活、农业生产、大工业、一般工商业用电（除执行居民生活、农业生产和大工业用电价格以外的用电）四类。</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三、执行工商业（或大工业、一般工商业）用电价格的用户（以下简称工商业用户），用电容量在100千伏安及以下的，执行单一制电价；100千伏安至315千伏安之间的，可选择执行单一制或两部制电价；315千伏安及以上的，执行两部制电价，现执行单一制电价的用户可选择执行单一制电价或两部制电价。选择执行需量电价计费方式的两部制用户，每月每千伏安用电量达到260千瓦时及以上的，当月需量电价按本通知核定标准90%执行。每月每千伏安用电量为用户所属全部计量点当月总用电量除以合同变压器容量。</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  四、工商业用户用电价格由上网电价、上网环节线损费用、输配电价、系统运行费用、政府性基金及附加组成。</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  系统运行费用包括辅助服务费用、抽水蓄能容量电费等。</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  上网环节线损费用按实际购电上网电价和综合线损率计算。电力市场暂不支持用户直接采购线损电量的地方，继续由电网企业代理采购线损电量，代理采购损益按月向全体工商业用户分摊或分享。</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  五、居民生活、农业生产用电继续执行现行目录销售电价政策。</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六、省级价格主管部门要精心组织、周密安排，确保输配电价平稳执行，做好与电网企业代理购电制度等的协同，密切监测输配电价执行情况，发现问题及时报告我委（价格司）。电网企业要按照相关要求，严格执行本通知核定的输配电价，统筹推进电网均衡发展；对各电压等级的资产、费用、收入、输配售电量、负荷、用户报装容量、线损率、投资计划完成进度等与输配电价相关的基础数据进行统计归集，每年5月底前报我委（价格司）和省级价格主管部门。</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  本通知自2023年6月1日起执行，现行政策相关规定与本通知不符的，以本通知规定为准。</w:t>
      </w:r>
      <w:r>
        <w:rPr>
          <w:rFonts w:hint="eastAsia" w:ascii="仿宋_GB2312" w:hAnsi="仿宋_GB2312" w:eastAsia="仿宋_GB2312" w:cs="仿宋_GB2312"/>
          <w:color w:val="333333"/>
          <w:kern w:val="0"/>
          <w:sz w:val="28"/>
          <w:szCs w:val="28"/>
          <w:lang w:val="en-US" w:eastAsia="zh-CN" w:bidi="ar"/>
        </w:rPr>
        <w:br w:type="textWrapping"/>
      </w:r>
      <w:r>
        <w:rPr>
          <w:rFonts w:hint="eastAsia" w:ascii="仿宋_GB2312" w:hAnsi="仿宋_GB2312" w:eastAsia="仿宋_GB2312" w:cs="仿宋_GB2312"/>
          <w:color w:val="333333"/>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 xml:space="preserve">                    国家发展改革委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 xml:space="preserve">                    2023年5月9日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C3B78"/>
    <w:rsid w:val="1B7C3B78"/>
    <w:rsid w:val="5A31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Emphasis"/>
    <w:basedOn w:val="3"/>
    <w:qFormat/>
    <w:uiPriority w:val="0"/>
  </w:style>
  <w:style w:type="character" w:styleId="7">
    <w:name w:val="Hyperlink"/>
    <w:basedOn w:val="3"/>
    <w:qFormat/>
    <w:uiPriority w:val="0"/>
    <w:rPr>
      <w:color w:val="333333"/>
      <w:u w:val="none"/>
    </w:rPr>
  </w:style>
  <w:style w:type="character" w:customStyle="1" w:styleId="8">
    <w:name w:val="after"/>
    <w:basedOn w:val="3"/>
    <w:qFormat/>
    <w:uiPriority w:val="0"/>
    <w:rPr>
      <w:shd w:val="clear" w:fill="D60000"/>
    </w:rPr>
  </w:style>
  <w:style w:type="character" w:customStyle="1" w:styleId="9">
    <w:name w:val="after1"/>
    <w:basedOn w:val="3"/>
    <w:qFormat/>
    <w:uiPriority w:val="0"/>
  </w:style>
  <w:style w:type="character" w:customStyle="1" w:styleId="10">
    <w:name w:val="after2"/>
    <w:basedOn w:val="3"/>
    <w:qFormat/>
    <w:uiPriority w:val="0"/>
  </w:style>
  <w:style w:type="character" w:customStyle="1" w:styleId="11">
    <w:name w:val="after3"/>
    <w:basedOn w:val="3"/>
    <w:qFormat/>
    <w:uiPriority w:val="0"/>
    <w:rPr>
      <w:vanish/>
    </w:rPr>
  </w:style>
  <w:style w:type="character" w:customStyle="1" w:styleId="12">
    <w:name w:val="selected"/>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2023-05-29T08:59:00Z</dcterms:created>
  <dc:creator>Administrator</dc:creator>
  <cp:lastModifiedBy>Administrator</cp:lastModifiedBy>
  <dcterms:modified xsi:type="dcterms:W3CDTF">2023-05-29T11:08:53Z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