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csmb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厅领导，本厅有关处室</w:t>
      </w:r>
      <w:bookmarkEnd w:id="0"/>
      <w:bookmarkStart w:id="1" w:name="yinfadanwei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新疆维吾尔自治区财</w:t>
      </w:r>
      <w:bookmarkEnd w:id="1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司法局2021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40" w:lineRule="exact"/>
        <w:ind w:firstLine="883" w:firstLineChars="200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克州司法局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概况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年部门（单位）预算公开表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一、部门（单位）收支总体情况表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二、部门（单位）收入总体情况表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三、部门（单位）支出总体情况表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七、一般公共预算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年部门（单位）预算情况说明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克州司法局2021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克州司法局2021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克州司法局2021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克州司法局2021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克州司法局2021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克州司法局2021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克州司法局2021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年一般公共预算项目支出情况说明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克州司法局2021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克州司法局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both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both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克州司法局</w:t>
      </w:r>
      <w:r>
        <w:rPr>
          <w:rFonts w:hint="eastAsia" w:ascii="黑体" w:hAnsi="黑体" w:eastAsia="黑体"/>
          <w:kern w:val="0"/>
          <w:sz w:val="32"/>
          <w:szCs w:val="32"/>
        </w:rPr>
        <w:t>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ind w:firstLine="63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克州司法局是自治州人民政府组成部门，为正县级。负责贯彻落实自治州党委关于全面依法治州的决策部署，在履行职责过程中坚持和加强党对全面依法治州的集中统一领导。主要职责是：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560" w:lineRule="exact"/>
        <w:ind w:firstLine="63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（一)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承担全面依法治州重大问题的政策研究，协调有关方面提出全面依法治州中长期规划建议，负责有关重大决策部署督察工作。</w:t>
      </w:r>
    </w:p>
    <w:p>
      <w:pPr>
        <w:widowControl/>
        <w:spacing w:line="560" w:lineRule="exact"/>
        <w:ind w:firstLine="63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承担统筹规划立法工作的责任。协调有关方面提出立法规划和年度立法工作计划的建议，负责跟踪了解各部门对立法工作计划的落实情况，加强组织协调和督促指导，研究提出立法与改革决策相衔接的意见、措施。负责面向社会征集地方性法规、政府规章制定项目建议。</w:t>
      </w:r>
    </w:p>
    <w:p>
      <w:pPr>
        <w:widowControl/>
        <w:spacing w:line="560" w:lineRule="exact"/>
        <w:ind w:firstLine="63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负责起草或者组织起草有关地方性法规、政府规章草案。承办各部门报送自治州人民政府的地方性法规、政府规章草案审查工作。承办法律草案、行政法规草案、地方性法规草案征求意见工作。负责立法协调。</w:t>
      </w:r>
    </w:p>
    <w:p>
      <w:pPr>
        <w:widowControl/>
        <w:spacing w:line="560" w:lineRule="exact"/>
        <w:ind w:firstLine="63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承办政府规章的解释、立法后评估工作。负责协调实施政府规章中的有关争议和问题。承办政府规章清理、编纂工作。承担自治州人民政府规章报备工作。负责各县（市）人民政府规章备案审查工作。负责行政规范性文件合法性审核、备案审查工作。组织开展政府规章和行政规范性文件清理工作。</w:t>
      </w:r>
    </w:p>
    <w:p>
      <w:pPr>
        <w:widowControl/>
        <w:spacing w:line="560" w:lineRule="exact"/>
        <w:ind w:firstLine="63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承担统筹推进法治政府建设的责任。指导、监督自治州人民政府各部门、各县（市）人民政府依法行政工作。负责行政执法的监督管理、综合协调工作，承担推进行政执法体制改革有关工作，推进严格规范公正文明执法。指导、监督全州行政复议和行政应诉工作。负责行政复议和应诉案件办理工作。</w:t>
      </w:r>
    </w:p>
    <w:p>
      <w:pPr>
        <w:widowControl/>
        <w:spacing w:line="560" w:lineRule="exact"/>
        <w:ind w:firstLine="63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六）承担统筹规划法治社会建设的责任。负责拟订法治宣传教育规划，组织实施普法宣传工作，组织对外法治宣传。推动人民参与和促进法治建设。指导依法治理和法治创建工作。负责人民监督员选任管理工作。指导、监督人民调解、行政调解、人民陪审员选任工作，推进司法所建设。负责促进和谐预防犯罪宣传教育工作。</w:t>
      </w:r>
    </w:p>
    <w:p>
      <w:pPr>
        <w:widowControl/>
        <w:spacing w:line="560" w:lineRule="exact"/>
        <w:ind w:firstLine="63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（七）指导、管理社区矫正工作。</w:t>
      </w:r>
    </w:p>
    <w:p>
      <w:pPr>
        <w:widowControl/>
        <w:spacing w:line="560" w:lineRule="exact"/>
        <w:ind w:firstLine="63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（八）负责拟订公共法律服务体系建设规划并指导实施，统筹和布局城乡、区域法律服务资源。指导、监督律师、法律援助、司法鉴定、公证、仲裁和基层法律服务管理工作。</w:t>
      </w:r>
    </w:p>
    <w:p>
      <w:pPr>
        <w:widowControl/>
        <w:spacing w:line="560" w:lineRule="exact"/>
        <w:ind w:firstLine="63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（九）负责国家统一法律职业资格考试的组织实施工作。负责国家统一法律职业资格审查、复核、报批和证书管理工作。负责规划和指导法律职业人员入职前培训工作。</w:t>
      </w:r>
    </w:p>
    <w:p>
      <w:pPr>
        <w:widowControl/>
        <w:spacing w:line="560" w:lineRule="exact"/>
        <w:ind w:firstLine="63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（十）负责自治州法治对外合作工作。组织开展法治对外合作交流。承办涉港澳台的法律事务。参与有关国际司法协助。</w:t>
      </w:r>
    </w:p>
    <w:p>
      <w:pPr>
        <w:widowControl/>
        <w:spacing w:line="560" w:lineRule="exact"/>
        <w:ind w:firstLine="63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(十一)负责自治州司法行政系统枪支、弹药、服装和警车管理工作，指导、监督自治州司法行政系统财务、装备、设施、场所等保障工作。</w:t>
      </w:r>
    </w:p>
    <w:p>
      <w:pPr>
        <w:widowControl/>
        <w:spacing w:line="560" w:lineRule="exact"/>
        <w:ind w:firstLine="63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(十二)规划、协调、指导法治人才队伍建设相关工作，指导、监督自治州司法行政系统队伍建设。负责自治州司法行政系统警务管理和警务督察工作。协助各县（市）管理司法局领导干部。</w:t>
      </w:r>
    </w:p>
    <w:p>
      <w:pPr>
        <w:widowControl/>
        <w:spacing w:line="560" w:lineRule="exact"/>
        <w:ind w:firstLine="63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（十三）按照“管行业必须管安全、管业务必须管安全”的要求，对本行业领域安全生产负行业监管（行业主管）职责，组织开展本行业领域安全生产宣传教育、监督检查及应急管理工作。</w:t>
      </w:r>
    </w:p>
    <w:p>
      <w:pPr>
        <w:widowControl/>
        <w:spacing w:line="560" w:lineRule="exact"/>
        <w:ind w:firstLine="630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（十四）完成自治州党委、自治州人民政府和自治区司法厅交办的其他任务。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2" w:name="_GoBack"/>
      <w:bookmarkEnd w:id="2"/>
      <w:r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克州司法局无下属预算单位，下设</w:t>
      </w:r>
      <w:r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个处室，分别是：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办公室、政工科、法治调研和督察科、立法科、社区矫正科、行政执法协调监督科、普法与依法治理科、人民参与和促进法治科、公共法律服务科、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法律援助中心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（事业编）。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克州司法局编制数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39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人，实有人数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人，其中：在职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 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人；离休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</w:t>
      </w:r>
    </w:p>
    <w:p>
      <w:pPr>
        <w:widowControl/>
        <w:spacing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both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克州司法局</w:t>
      </w:r>
      <w:r>
        <w:rPr>
          <w:rFonts w:hint="eastAsia" w:ascii="黑体" w:hAnsi="黑体" w:eastAsia="黑体"/>
          <w:kern w:val="0"/>
          <w:sz w:val="32"/>
          <w:szCs w:val="32"/>
        </w:rPr>
        <w:t>预算公开表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部门（单位）收支总体情况表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克州司法局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单位：万元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628.5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628.5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yellow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yellow"/>
              </w:rPr>
              <w:t>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869.70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166.2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粮油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物资管理支出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234 抗疫特别国债还本支出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869.7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869.70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克州司法局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单位：万元</w:t>
      </w:r>
    </w:p>
    <w:tbl>
      <w:tblPr>
        <w:tblStyle w:val="7"/>
        <w:tblW w:w="10651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450"/>
        <w:gridCol w:w="525"/>
        <w:gridCol w:w="1489"/>
        <w:gridCol w:w="851"/>
        <w:gridCol w:w="885"/>
        <w:gridCol w:w="345"/>
        <w:gridCol w:w="435"/>
        <w:gridCol w:w="615"/>
        <w:gridCol w:w="645"/>
        <w:gridCol w:w="810"/>
        <w:gridCol w:w="405"/>
        <w:gridCol w:w="636"/>
        <w:gridCol w:w="834"/>
        <w:gridCol w:w="300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财政专户（教育收费）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yellow"/>
              </w:rPr>
              <w:t>国有资本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  <w:highlight w:val="yellow"/>
              </w:rPr>
              <w:t>经营预算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级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补助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收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入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单位其他资金收入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单位上年结余（不包含国库集中支付额度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204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869.70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both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166.2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3.00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17.00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204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06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司法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869.70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628.5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both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166.2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3.00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17.00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204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06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其他司法支出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27.00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10.00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17.00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204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 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06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 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行政运行（司法）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812.70 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588.50 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166.2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05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普法宣传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</w:rPr>
              <w:t>合  计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869.70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628.5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jc w:val="right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166.2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3.00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17.00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55.00</w:t>
            </w:r>
          </w:p>
        </w:tc>
      </w:tr>
    </w:tbl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部门（单位）支出总体情况表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克州司法局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525"/>
        <w:gridCol w:w="525"/>
        <w:gridCol w:w="2185"/>
        <w:gridCol w:w="1855"/>
        <w:gridCol w:w="1856"/>
        <w:gridCol w:w="1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1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1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204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公共安全支出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869.70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812.70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57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06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司法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869.70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812.70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57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06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普法宣传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30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204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行政运行（司法）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812.70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812.70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204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其他司法支出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27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869.70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812.70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57.00</w:t>
            </w:r>
          </w:p>
        </w:tc>
      </w:tr>
    </w:tbl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kern w:val="0"/>
          <w:szCs w:val="21"/>
        </w:rPr>
      </w:pPr>
      <w:r>
        <w:rPr>
          <w:rFonts w:hint="eastAsia" w:ascii="仿宋_GB2312" w:hAnsi="宋体" w:eastAsia="仿宋_GB2312"/>
          <w:kern w:val="0"/>
          <w:szCs w:val="21"/>
        </w:rPr>
        <w:t>编制部门位）：</w:t>
      </w:r>
      <w:r>
        <w:rPr>
          <w:rFonts w:hint="eastAsia" w:ascii="仿宋_GB2312" w:hAnsi="宋体" w:eastAsia="仿宋_GB2312"/>
          <w:kern w:val="0"/>
          <w:szCs w:val="21"/>
          <w:lang w:eastAsia="zh-CN"/>
        </w:rPr>
        <w:t>克州司法局</w:t>
      </w:r>
      <w:r>
        <w:rPr>
          <w:rFonts w:hint="eastAsia" w:ascii="仿宋_GB2312" w:hAnsi="宋体" w:eastAsia="仿宋_GB2312"/>
          <w:kern w:val="0"/>
          <w:szCs w:val="21"/>
        </w:rPr>
        <w:t xml:space="preserve">                                                  单位：万元</w:t>
      </w:r>
    </w:p>
    <w:tbl>
      <w:tblPr>
        <w:tblStyle w:val="7"/>
        <w:tblpPr w:leftFromText="180" w:rightFromText="180" w:vertAnchor="text" w:tblpY="1"/>
        <w:tblOverlap w:val="never"/>
        <w:tblW w:w="94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055"/>
        <w:gridCol w:w="2580"/>
        <w:gridCol w:w="901"/>
        <w:gridCol w:w="850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5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 计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yellow"/>
              </w:rPr>
              <w:t>国有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yellow"/>
              </w:rPr>
              <w:t>资本经营预算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628.5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628.5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yellow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yellow"/>
              </w:rPr>
              <w:t>经营预算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628.50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628.50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 医疗卫生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与计划生育支出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628.5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628.50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628.50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ascii="仿宋_GB2312" w:hAnsi="宋体" w:eastAsia="仿宋_GB2312"/>
          <w:b/>
          <w:kern w:val="0"/>
          <w:sz w:val="28"/>
          <w:szCs w:val="32"/>
        </w:rPr>
        <w:br w:type="textWrapping" w:clear="all"/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克州司法局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商品和服务支出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628.50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588.50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40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工会经费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628.50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588.50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40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行政运行（司法）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行政运行（司法）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行政运行（司法）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24.10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24.10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行政运行（司法）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行政运行（司法）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3.64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行政运行（司法）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144.01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行政运行（司法）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行政运行（司法）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177.85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177.85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行政运行（司法）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43.4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43.4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行政运行（司法）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204204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行政运行（司法）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14.74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14.74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普法宣传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普法宣传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行政运行（司法）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33.74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33.74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行政运行（司法）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行政运行（司法）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19.88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19.88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行政运行（司法）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普法宣传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行政运行（司法）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46.56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46.56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行政运行（司法）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46.71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46.71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行政运行（司法）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行政运行（司法）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其他司法支出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其他司法支出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行政运行（司法）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普法宣传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628.50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588.50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995"/>
        <w:gridCol w:w="706"/>
        <w:gridCol w:w="976"/>
        <w:gridCol w:w="72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克州司法局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588.50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553.14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144.01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177.85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177.85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46.56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46.56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46.71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46.71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33.74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33.74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3.64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办公用品及设备采购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14.74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14.74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24.10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24.10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19.88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19.88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588.5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553.14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35.37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546"/>
        <w:gridCol w:w="406"/>
        <w:gridCol w:w="465"/>
        <w:gridCol w:w="1440"/>
        <w:gridCol w:w="765"/>
        <w:gridCol w:w="728"/>
        <w:gridCol w:w="459"/>
        <w:gridCol w:w="703"/>
        <w:gridCol w:w="485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克州司法局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25" w:type="dxa"/>
            <w:gridSpan w:val="4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2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703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485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0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14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40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40" w:type="dxa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  <w:t>公共安全支出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　</w:t>
            </w:r>
          </w:p>
        </w:tc>
        <w:tc>
          <w:tcPr>
            <w:tcW w:w="765" w:type="dxa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45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40.00</w:t>
            </w:r>
          </w:p>
        </w:tc>
        <w:tc>
          <w:tcPr>
            <w:tcW w:w="48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204</w:t>
            </w:r>
          </w:p>
        </w:tc>
        <w:tc>
          <w:tcPr>
            <w:tcW w:w="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40" w:type="dxa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</w:t>
            </w:r>
          </w:p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45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40.00</w:t>
            </w:r>
          </w:p>
        </w:tc>
        <w:tc>
          <w:tcPr>
            <w:tcW w:w="48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204</w:t>
            </w:r>
          </w:p>
        </w:tc>
        <w:tc>
          <w:tcPr>
            <w:tcW w:w="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06</w:t>
            </w: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普法宣传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普法等工作经费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45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48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204</w:t>
            </w:r>
          </w:p>
        </w:tc>
        <w:tc>
          <w:tcPr>
            <w:tcW w:w="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06</w:t>
            </w: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其他司法支出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联建工作经费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45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48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4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2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4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2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4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2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4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2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0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2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5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0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8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4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2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4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2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4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合 计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40.00</w:t>
            </w:r>
          </w:p>
        </w:tc>
        <w:tc>
          <w:tcPr>
            <w:tcW w:w="45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703" w:type="dxa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40.00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克州司法局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单位：万元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9.90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6.90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克州司法局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克孜勒苏柯尔克孜自治州司法局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2021年无政府性基金预算拨款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说明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支出本表为空表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。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年部门（单位）预算情况说明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克州司法局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克州司法局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年所有收入和支出均纳入部门（单位）预算管理。收支总预算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869.7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628.5万元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、上级专项收入17万元、单位其他资金收入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、上级补助收入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166.2万元、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yellow"/>
          <w:shd w:val="clear" w:color="FFFFFF" w:fill="D9D9D9"/>
        </w:rPr>
        <w:t>国有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yellow"/>
          <w:shd w:val="clear" w:color="FFFFFF" w:fill="D9D9D9"/>
        </w:rPr>
        <w:t>资金经营预算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支出预算包括：公共安全支出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869.7万元。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克州司法局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克州司法局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869.7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628.5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</w:rPr>
        <w:t>比上年预算减少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  <w:lang w:val="en-US" w:eastAsia="zh-CN"/>
        </w:rPr>
        <w:t>29.71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人员调出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；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yellow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</w:rPr>
        <w:t>国有资本</w:t>
      </w:r>
      <w:r>
        <w:rPr>
          <w:rFonts w:ascii="仿宋_GB2312" w:hAnsi="宋体" w:eastAsia="仿宋_GB2312" w:cs="宋体"/>
          <w:kern w:val="0"/>
          <w:sz w:val="32"/>
          <w:szCs w:val="32"/>
          <w:highlight w:val="yellow"/>
        </w:rPr>
        <w:t>经营预算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</w:rPr>
        <w:t>未安排。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上级专项收入17万元，占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1.95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主要原因是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各县市司法局办案经费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上级补助收入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166.2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166.2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各县市司法局办案经费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单位其他资金收入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</w:rPr>
        <w:t>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中央彩票援助资金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；；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克州司法局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克州司法局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869.7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812.7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93.4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59.49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增加替换设备的采购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6.55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:项目未变动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克州司法局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628.5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收入全部为一般公共预算拨款，无政府性基金预算拨款和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yellow"/>
        </w:rPr>
        <w:t>国有资本经营预算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yellow"/>
        </w:rPr>
        <w:t>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  <w:highlight w:val="yellow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yellow"/>
        </w:rPr>
        <w:t>收入预算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yellow"/>
        </w:rPr>
        <w:t>包括：一般公共预算拨款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yellow"/>
          <w:lang w:val="en-US" w:eastAsia="zh-CN"/>
        </w:rPr>
        <w:t>628.5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yellow"/>
        </w:rPr>
        <w:t>万元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yellow"/>
        </w:rPr>
        <w:t>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yellow"/>
        </w:rPr>
        <w:t>一般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yellow"/>
        </w:rPr>
        <w:t>公共预算支出包括：一般公共服务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yellow"/>
        </w:rPr>
        <w:t>支出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yellow"/>
          <w:lang w:val="en-US" w:eastAsia="zh-CN"/>
        </w:rPr>
        <w:t>628.5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yellow"/>
        </w:rPr>
        <w:t>万元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yellow"/>
        </w:rPr>
        <w:t>，主要用于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yellow"/>
          <w:lang w:eastAsia="zh-CN"/>
        </w:rPr>
        <w:t>公共安全支出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yellow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克州司法局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（一）一般公共预算当年拨款规模变化情况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  <w:lang w:eastAsia="zh-CN"/>
        </w:rPr>
        <w:t>克州司法局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</w:rPr>
        <w:t>年一般公共预算拨款合计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  <w:lang w:val="en-US" w:eastAsia="zh-CN"/>
        </w:rPr>
        <w:t>628.5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</w:rPr>
        <w:t>万元，其中</w:t>
      </w:r>
      <w:r>
        <w:rPr>
          <w:rFonts w:ascii="仿宋_GB2312" w:hAnsi="宋体" w:eastAsia="仿宋_GB2312" w:cs="宋体"/>
          <w:kern w:val="0"/>
          <w:sz w:val="32"/>
          <w:szCs w:val="32"/>
          <w:highlight w:val="yellow"/>
        </w:rPr>
        <w:t>：基本支出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  <w:lang w:val="en-US" w:eastAsia="zh-CN"/>
        </w:rPr>
        <w:t>588.5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yellow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</w:rPr>
        <w:t>比上年预算减少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  <w:lang w:val="en-US" w:eastAsia="zh-CN"/>
        </w:rPr>
        <w:t>29.71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  <w:lang w:val="en-US" w:eastAsia="zh-CN"/>
        </w:rPr>
        <w:t>4.72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</w:rPr>
        <w:t>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  <w:lang w:eastAsia="zh-CN"/>
        </w:rPr>
        <w:t>人员减少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</w:rPr>
        <w:t>。</w:t>
      </w:r>
      <w:r>
        <w:rPr>
          <w:rFonts w:ascii="仿宋_GB2312" w:hAnsi="宋体" w:eastAsia="仿宋_GB2312" w:cs="宋体"/>
          <w:kern w:val="0"/>
          <w:sz w:val="32"/>
          <w:szCs w:val="32"/>
          <w:highlight w:val="yellow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  <w:lang w:val="en-US" w:eastAsia="zh-CN"/>
        </w:rPr>
        <w:t>40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yellow"/>
        </w:rPr>
        <w:t>，比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</w:rPr>
        <w:t>上年</w:t>
      </w:r>
      <w:r>
        <w:rPr>
          <w:rFonts w:ascii="仿宋_GB2312" w:hAnsi="宋体" w:eastAsia="仿宋_GB2312" w:cs="宋体"/>
          <w:kern w:val="0"/>
          <w:sz w:val="32"/>
          <w:szCs w:val="32"/>
          <w:highlight w:val="yellow"/>
        </w:rPr>
        <w:t>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yellow"/>
        </w:rPr>
        <w:t>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  <w:lang w:val="en-US" w:eastAsia="zh-CN"/>
        </w:rPr>
        <w:t>0</w:t>
      </w:r>
      <w:r>
        <w:rPr>
          <w:rFonts w:ascii="仿宋_GB2312" w:hAnsi="宋体" w:eastAsia="仿宋_GB2312" w:cs="宋体"/>
          <w:kern w:val="0"/>
          <w:sz w:val="32"/>
          <w:szCs w:val="32"/>
          <w:highlight w:val="yellow"/>
        </w:rPr>
        <w:t>%。主要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</w:rPr>
        <w:t>原因</w:t>
      </w:r>
      <w:r>
        <w:rPr>
          <w:rFonts w:ascii="仿宋_GB2312" w:hAnsi="宋体" w:eastAsia="仿宋_GB2312" w:cs="宋体"/>
          <w:kern w:val="0"/>
          <w:sz w:val="32"/>
          <w:szCs w:val="32"/>
          <w:highlight w:val="yellow"/>
        </w:rPr>
        <w:t>是：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  <w:lang w:eastAsia="zh-CN"/>
        </w:rPr>
        <w:t>项目未变动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</w:rPr>
        <w:t xml:space="preserve">        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1.公共安全支出 （类）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628.5</w:t>
      </w:r>
      <w:r>
        <w:rPr>
          <w:rFonts w:hint="eastAsia" w:ascii="仿宋_GB2312" w:eastAsia="仿宋_GB2312"/>
          <w:sz w:val="32"/>
          <w:szCs w:val="32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元，占100%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</w:t>
      </w:r>
      <w:r>
        <w:rPr>
          <w:rFonts w:ascii="仿宋_GB2312" w:hAnsi="宋体" w:eastAsia="仿宋_GB2312" w:cs="宋体"/>
          <w:kern w:val="0"/>
          <w:sz w:val="32"/>
          <w:szCs w:val="32"/>
        </w:rPr>
        <w:t>公共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安全支出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204</w:t>
      </w:r>
      <w:r>
        <w:rPr>
          <w:rFonts w:ascii="仿宋_GB2312" w:hAnsi="宋体" w:eastAsia="仿宋_GB2312" w:cs="宋体"/>
          <w:kern w:val="0"/>
          <w:sz w:val="32"/>
          <w:szCs w:val="32"/>
        </w:rPr>
        <w:t>类）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司法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06</w:t>
      </w:r>
      <w:r>
        <w:rPr>
          <w:rFonts w:ascii="仿宋_GB2312" w:hAnsi="宋体" w:eastAsia="仿宋_GB2312" w:cs="宋体"/>
          <w:kern w:val="0"/>
          <w:sz w:val="32"/>
          <w:szCs w:val="32"/>
        </w:rPr>
        <w:t>款）行政运行（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01</w:t>
      </w:r>
      <w:r>
        <w:rPr>
          <w:rFonts w:ascii="仿宋_GB2312" w:hAnsi="宋体" w:eastAsia="仿宋_GB2312" w:cs="宋体"/>
          <w:kern w:val="0"/>
          <w:sz w:val="32"/>
          <w:szCs w:val="32"/>
        </w:rPr>
        <w:t>项）: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588.5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</w:rPr>
        <w:t>比上年预算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29.71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主要原因是：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人员调出，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工资变动、社保、公积金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。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2.</w:t>
      </w:r>
      <w:r>
        <w:rPr>
          <w:rFonts w:ascii="仿宋_GB2312" w:hAnsi="宋体" w:eastAsia="仿宋_GB2312" w:cs="宋体"/>
          <w:kern w:val="0"/>
          <w:sz w:val="32"/>
          <w:szCs w:val="32"/>
        </w:rPr>
        <w:t>公共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安全支出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204</w:t>
      </w:r>
      <w:r>
        <w:rPr>
          <w:rFonts w:ascii="仿宋_GB2312" w:hAnsi="宋体" w:eastAsia="仿宋_GB2312" w:cs="宋体"/>
          <w:kern w:val="0"/>
          <w:sz w:val="32"/>
          <w:szCs w:val="32"/>
        </w:rPr>
        <w:t>类）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司法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06</w:t>
      </w:r>
      <w:r>
        <w:rPr>
          <w:rFonts w:ascii="仿宋_GB2312" w:hAnsi="宋体" w:eastAsia="仿宋_GB2312" w:cs="宋体"/>
          <w:kern w:val="0"/>
          <w:sz w:val="32"/>
          <w:szCs w:val="32"/>
        </w:rPr>
        <w:t>款）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普法宣传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05</w:t>
      </w:r>
      <w:r>
        <w:rPr>
          <w:rFonts w:ascii="仿宋_GB2312" w:hAnsi="宋体" w:eastAsia="仿宋_GB2312" w:cs="宋体"/>
          <w:kern w:val="0"/>
          <w:sz w:val="32"/>
          <w:szCs w:val="32"/>
        </w:rPr>
        <w:t>项）: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30</w:t>
      </w:r>
      <w:r>
        <w:rPr>
          <w:rFonts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比上年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增加0万元，增长0%，主要原因是：项目未变化。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ascii="仿宋_GB2312" w:hAnsi="宋体" w:eastAsia="仿宋_GB2312" w:cs="宋体"/>
          <w:kern w:val="0"/>
          <w:sz w:val="32"/>
          <w:szCs w:val="32"/>
        </w:rPr>
        <w:t>公共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安全支出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204</w:t>
      </w:r>
      <w:r>
        <w:rPr>
          <w:rFonts w:ascii="仿宋_GB2312" w:hAnsi="宋体" w:eastAsia="仿宋_GB2312" w:cs="宋体"/>
          <w:kern w:val="0"/>
          <w:sz w:val="32"/>
          <w:szCs w:val="32"/>
        </w:rPr>
        <w:t>类）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司法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06</w:t>
      </w:r>
      <w:r>
        <w:rPr>
          <w:rFonts w:ascii="仿宋_GB2312" w:hAnsi="宋体" w:eastAsia="仿宋_GB2312" w:cs="宋体"/>
          <w:kern w:val="0"/>
          <w:sz w:val="32"/>
          <w:szCs w:val="32"/>
        </w:rPr>
        <w:t>款）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其他司法支出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99</w:t>
      </w:r>
      <w:r>
        <w:rPr>
          <w:rFonts w:ascii="仿宋_GB2312" w:hAnsi="宋体" w:eastAsia="仿宋_GB2312" w:cs="宋体"/>
          <w:kern w:val="0"/>
          <w:sz w:val="32"/>
          <w:szCs w:val="32"/>
        </w:rPr>
        <w:t>项）: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10</w:t>
      </w:r>
      <w:r>
        <w:rPr>
          <w:rFonts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比上年执行数增加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%，主要原因是：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项目未变化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克州司法局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克州司法局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588.5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553.14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144.01万元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177.85万元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46.56万元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46.71万元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43.4万元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33.74万元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、离休费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14.74万元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、退休费、退职（役）费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24.1万元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、生活补助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1.70万元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、其他对个人和家庭的补助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19.88万元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35.37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、劳务费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、办公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用品及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设备购置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4万元、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2.02万元、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3.64万元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克州司法局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年一般公共预算项目支出情况说明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：“七五”普法项目及法宣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根据中央、自治区、自治州相关文件规定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30万元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克州司法局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财政拨款</w:t>
      </w:r>
    </w:p>
    <w:p>
      <w:pPr>
        <w:widowControl/>
        <w:spacing w:line="50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年1月-12月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2、项目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联建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工作经费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根据自治区群众工作项目资金的安排，列入年初预算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10万元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克州司法局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财政拨款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年1月-12月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克州司法局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克州司法局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年一般公共预算“三公”经费数为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9.9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年一般公共预算“三公”经费比上年增加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无人出国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；公务用车购置费为0，未安排预算。[或公务用车购置费增加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没有购车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]；公务用车运行费增加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上年度用的是结余未做入预算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     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克州司法局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在预算中未安排政府性基金预算的部门（单位），必须公开空表，同时做以下说明：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克州司法局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克州司法局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家行政单位和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628.5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29.71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人员调出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克州司法局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199.6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199.6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2021</w:t>
      </w:r>
      <w:r>
        <w:rPr>
          <w:rFonts w:hint="eastAsia" w:ascii="仿宋_GB2312" w:hAnsi="仿宋_GB2312" w:eastAsia="仿宋_GB2312"/>
          <w:sz w:val="32"/>
        </w:rPr>
        <w:t>年度本部门（单位）面向中小企业预留政府采购项目预算金额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克州司法局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280.5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万元；其中：一般公务用车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235.5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508.84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年部门（单位）预算未安排购置车辆经费（或安排购置车辆经费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万元），安排购置50万元以上大型设备  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年度，本年度实行绩效管理的一般公共预算项目   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7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克州司法局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七五普法经费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入开展法制宣传教育，增强全民法治观念，为认真贯彻落实党的十九大和十九届二中、三中、四中全会精神，加大全民普法力度，提高全民法治素养，推进“七五”普法各项任务的全面落实，开展普法宣传工作，对租金社会法治建设，开展法律宣传，维护社会稳定具有十分重要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普法宣讲次数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≥12次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受普法单位（个）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资金使用合规率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资金拨付及时率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资金拨付及时率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宣传费用（（万元）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印制宣传材料费用（万元）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促进管理工作规范化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有效促进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降低犯罪率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长期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受益群众满意度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≥95%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24"/>
          <w:cols w:space="720" w:num="1"/>
          <w:docGrid w:type="lines" w:linePitch="312" w:charSpace="0"/>
        </w:sectPr>
      </w:pPr>
    </w:p>
    <w:tbl>
      <w:tblPr>
        <w:tblStyle w:val="7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ind w:firstLine="964" w:firstLineChars="300"/>
              <w:jc w:val="both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克州司法局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群众工作经费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以认真负责的态度，开展好群众工作，协助访惠聚工作人员对库尔干村的群众工作、安居富民、农忙期间棉田拾花等工作，与群众产生了深厚的鱼水情。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办公设备购置（次）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≥6次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开展慰问、联谊、文体活动（次）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≥9次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入户走访建档立卡贫困户（户）数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≥387次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资金使用合规率（%）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资金执行率（%）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活动费用（万元）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办公用品费用（万元）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工作经费（万元）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保障基层工作情况需要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达成预期指标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巩固民族团结，助推脱贫攻坚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效果显著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受益群众满意度（%）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≥95%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spacing w:line="480" w:lineRule="exact"/>
        <w:ind w:firstLine="630" w:firstLineChars="196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spacing w:line="48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克州司法局没有其他需要说明的事项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  <w:highlight w:val="yellow"/>
        </w:rPr>
        <w:t>指由一般公共预算、政府性基金预算、</w:t>
      </w:r>
      <w:r>
        <w:rPr>
          <w:rFonts w:ascii="仿宋_GB2312" w:eastAsia="仿宋_GB2312"/>
          <w:sz w:val="32"/>
          <w:szCs w:val="32"/>
          <w:highlight w:val="yellow"/>
        </w:rPr>
        <w:t>国有资本经营预算</w:t>
      </w:r>
      <w:r>
        <w:rPr>
          <w:rFonts w:hint="eastAsia" w:ascii="仿宋_GB2312" w:eastAsia="仿宋_GB2312"/>
          <w:sz w:val="32"/>
          <w:szCs w:val="32"/>
          <w:highlight w:val="yellow"/>
        </w:rPr>
        <w:t>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包括事业收入、事业经营收入、其他收入等。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部门（单位）支出预算的组成部分，是自治区本级部门（单位）为完成其特定的行政任务或事业发展目标，在基本支出预算之外编制的年度项目支出计划。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（单位）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（单位）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克州司法局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2041" w:right="1276" w:bottom="2041" w:left="1276" w:header="851" w:footer="1814" w:gutter="0"/>
      <w:pgNumType w:fmt="numberInDash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631" w:y="37"/>
      <w:jc w:val="right"/>
      <w:rPr>
        <w:rStyle w:val="11"/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11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11"/>
        <w:rFonts w:ascii="宋体" w:hAnsi="宋体" w:eastAsia="宋体"/>
        <w:sz w:val="28"/>
      </w:rPr>
      <w:t>- 33 -</w:t>
    </w:r>
    <w:r>
      <w:rPr>
        <w:rFonts w:ascii="宋体" w:hAnsi="宋体" w:eastAsia="宋体"/>
        <w:sz w:val="28"/>
      </w:rPr>
      <w:fldChar w:fldCharType="end"/>
    </w:r>
    <w:r>
      <w:rPr>
        <w:rStyle w:val="11"/>
        <w:rFonts w:hint="eastAsia" w:ascii="宋体" w:hAnsi="宋体" w:eastAsia="宋体"/>
        <w:sz w:val="28"/>
      </w:rPr>
      <w:t xml:space="preserve"> 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756" w:y="37"/>
      <w:rPr>
        <w:rStyle w:val="11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54ABF"/>
    <w:rsid w:val="0009522A"/>
    <w:rsid w:val="000C2AA9"/>
    <w:rsid w:val="00121764"/>
    <w:rsid w:val="001662FE"/>
    <w:rsid w:val="00172C01"/>
    <w:rsid w:val="00186398"/>
    <w:rsid w:val="001D3009"/>
    <w:rsid w:val="002166BA"/>
    <w:rsid w:val="00324290"/>
    <w:rsid w:val="00396814"/>
    <w:rsid w:val="003B4B5F"/>
    <w:rsid w:val="003C61E3"/>
    <w:rsid w:val="00432267"/>
    <w:rsid w:val="004422D6"/>
    <w:rsid w:val="00493EEC"/>
    <w:rsid w:val="004C06DA"/>
    <w:rsid w:val="004F62F9"/>
    <w:rsid w:val="00520D5A"/>
    <w:rsid w:val="006A3660"/>
    <w:rsid w:val="006B6A8C"/>
    <w:rsid w:val="007219F8"/>
    <w:rsid w:val="007E2CEA"/>
    <w:rsid w:val="009035BA"/>
    <w:rsid w:val="00950B98"/>
    <w:rsid w:val="0096028F"/>
    <w:rsid w:val="0099744C"/>
    <w:rsid w:val="009C6198"/>
    <w:rsid w:val="00A9706D"/>
    <w:rsid w:val="00BA582F"/>
    <w:rsid w:val="00C117E5"/>
    <w:rsid w:val="00CA4E1E"/>
    <w:rsid w:val="00CE5389"/>
    <w:rsid w:val="00DC05BF"/>
    <w:rsid w:val="00E569BC"/>
    <w:rsid w:val="00EF4090"/>
    <w:rsid w:val="00F23808"/>
    <w:rsid w:val="00F54FE8"/>
    <w:rsid w:val="00F830A1"/>
    <w:rsid w:val="00F83503"/>
    <w:rsid w:val="00F90952"/>
    <w:rsid w:val="02AE5709"/>
    <w:rsid w:val="02D966B6"/>
    <w:rsid w:val="04E94E7C"/>
    <w:rsid w:val="09973B6F"/>
    <w:rsid w:val="190C151E"/>
    <w:rsid w:val="2A48109C"/>
    <w:rsid w:val="2A973C38"/>
    <w:rsid w:val="2AA531D3"/>
    <w:rsid w:val="2B9374D1"/>
    <w:rsid w:val="306F408B"/>
    <w:rsid w:val="324E3B6E"/>
    <w:rsid w:val="34CD533A"/>
    <w:rsid w:val="36300F43"/>
    <w:rsid w:val="37E13045"/>
    <w:rsid w:val="38766387"/>
    <w:rsid w:val="3EA766B6"/>
    <w:rsid w:val="43E8753D"/>
    <w:rsid w:val="472D1D45"/>
    <w:rsid w:val="4A0234E6"/>
    <w:rsid w:val="4AC86CA1"/>
    <w:rsid w:val="4FCC756A"/>
    <w:rsid w:val="52B14CCA"/>
    <w:rsid w:val="559A472E"/>
    <w:rsid w:val="5AA71F7E"/>
    <w:rsid w:val="5E0D3CB9"/>
    <w:rsid w:val="646E6570"/>
    <w:rsid w:val="68085AE7"/>
    <w:rsid w:val="69C92F84"/>
    <w:rsid w:val="708E785C"/>
    <w:rsid w:val="711E7358"/>
    <w:rsid w:val="7A295DA8"/>
    <w:rsid w:val="7CC8055B"/>
    <w:rsid w:val="7F2D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Indent 3"/>
    <w:basedOn w:val="1"/>
    <w:link w:val="15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 w:asciiTheme="minorHAnsi" w:hAnsiTheme="minorHAnsi" w:cstheme="minorBidi"/>
      <w:sz w:val="32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link w:val="2"/>
    <w:semiHidden/>
    <w:qFormat/>
    <w:uiPriority w:val="0"/>
    <w:rPr>
      <w:sz w:val="18"/>
      <w:szCs w:val="18"/>
    </w:rPr>
  </w:style>
  <w:style w:type="character" w:customStyle="1" w:styleId="15">
    <w:name w:val="正文文本缩进 3 字符"/>
    <w:link w:val="5"/>
    <w:qFormat/>
    <w:uiPriority w:val="0"/>
    <w:rPr>
      <w:rFonts w:eastAsia="仿宋_GB2312"/>
      <w:sz w:val="32"/>
      <w:szCs w:val="24"/>
    </w:rPr>
  </w:style>
  <w:style w:type="paragraph" w:customStyle="1" w:styleId="16">
    <w:name w:val="普通(网站)2"/>
    <w:basedOn w:val="1"/>
    <w:qFormat/>
    <w:uiPriority w:val="0"/>
    <w:rPr>
      <w:rFonts w:ascii="Calibri" w:hAnsi="Calibri" w:cs="黑体"/>
      <w:sz w:val="24"/>
    </w:rPr>
  </w:style>
  <w:style w:type="character" w:customStyle="1" w:styleId="17">
    <w:name w:val="正文文本缩进 3 字符1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20">
    <w:name w:val="批注框文本 字符1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2455</Words>
  <Characters>13996</Characters>
  <Lines>116</Lines>
  <Paragraphs>32</Paragraphs>
  <TotalTime>32</TotalTime>
  <ScaleCrop>false</ScaleCrop>
  <LinksUpToDate>false</LinksUpToDate>
  <CharactersWithSpaces>16419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2021-02-07T10:41:00Z</dcterms:created>
  <dc:creator>薛理升</dc:creator>
  <cp:lastModifiedBy>Administrator</cp:lastModifiedBy>
  <cp:lastPrinted>2021-03-03T10:08:51Z</cp:lastPrinted>
  <dcterms:modified xsi:type="dcterms:W3CDTF">2021-03-03T10:11:57Z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