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新疆维吾尔自治区财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司法局2021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一、部门（单位）收支总体情况表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二、部门（单位）收入总体情况表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三、部门（单位）支出总体情况表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克州司法局2021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克州司法局2021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克州司法局2021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克州司法局2021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克州司法局2021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克州司法局2021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克州司法局2021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克州司法局2021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3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克州司法局是自治州人民政府组成部门，为正县级。负责贯彻落实自治州党委关于全面依法治州的决策部署，在履行职责过程中坚持和加强党对全面依法治州的集中统一领导。主要职责是：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承担全面依法治州重大问题的政策研究，协调有关方面提出全面依法治州中长期规划建议，负责有关重大决策部署督察工作。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承担统筹规划立法工作的责任。协调有关方面提出立法规划和年度立法工作计划的建议，负责跟踪了解各部门对立法工作计划的落实情况，加强组织协调和督促指导，研究提出立法与改革决策相衔接的意见、措施。负责面向社会征集地方性法规、政府规章制定项目建议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负责起草或者组织起草有关地方性法规、政府规章草案。承办各部门报送自治州人民政府的地方性法规、政府规章草案审查工作。承办法律草案、行政法规草案、地方性法规草案征求意见工作。负责立法协调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承办政府规章的解释、立法后评估工作。负责协调实施政府规章中的有关争议和问题。承办政府规章清理、编纂工作。承担自治州人民政府规章报备工作。负责各县（市）人民政府规章备案审查工作。负责行政规范性文件合法性审核、备案审查工作。组织开展政府规章和行政规范性文件清理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承担统筹推进法治政府建设的责任。指导、监督自治州人民政府各部门、各县（市）人民政府依法行政工作。负责行政执法的监督管理、综合协调工作，承担推进行政执法体制改革有关工作，推进严格规范公正文明执法。指导、监督全州行政复议和行政应诉工作。负责行政复议和应诉案件办理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承担统筹规划法治社会建设的责任。负责拟订法治宣传教育规划，组织实施普法宣传工作，组织对外法治宣传。推动人民参与和促进法治建设。指导依法治理和法治创建工作。负责人民监督员选任管理工作。指导、监督人民调解、行政调解、人民陪审员选任工作，推进司法所建设。负责促进和谐预防犯罪宣传教育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（七）指导、管理社区矫正工作。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（八）负责拟订公共法律服务体系建设规划并指导实施，统筹和布局城乡、区域法律服务资源。指导、监督律师、法律援助、司法鉴定、公证、仲裁和基层法律服务管理工作。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（九）负责国家统一法律职业资格考试的组织实施工作。负责国家统一法律职业资格审查、复核、报批和证书管理工作。负责规划和指导法律职业人员入职前培训工作。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（十）负责自治州法治对外合作工作。组织开展法治对外合作交流。承办涉港澳台的法律事务。参与有关国际司法协助。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(十一)负责自治州司法行政系统枪支、弹药、服装和警车管理工作，指导、监督自治州司法行政系统财务、装备、设施、场所等保障工作。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(十二)规划、协调、指导法治人才队伍建设相关工作，指导、监督自治州司法行政系统队伍建设。负责自治州司法行政系统警务管理和警务督察工作。协助各县（市）管理司法局领导干部。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（十三）按照“管行业必须管安全、管业务必须管安全”的要求，对本行业领域安全生产负行业监管（行业主管）职责，组织开展本行业领域安全生产宣传教育、监督检查及应急管理工作。</w:t>
      </w:r>
    </w:p>
    <w:p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（十四）完成自治州党委、自治州人民政府和自治区司法厅交办的其他任务。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_GB2312" w:hAnsi="黑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克州司法局无下属预算单位，下设</w:t>
      </w:r>
      <w:r>
        <w:rPr>
          <w:rFonts w:hint="eastAsia" w:ascii="仿宋_GB2312" w:hAnsi="黑体" w:eastAsia="仿宋_GB2312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黑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个处室，分别是：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办公室、政工科、法治调研和督察科、立法科、社区矫正科、行政执法协调监督科、普法与依法治理科、人民参与和促进法治科、公共法律服务科、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法律援助中心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（事业编）。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克州司法局编制数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人，实有人数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人，其中：在职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克州司法局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628.5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628.5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yellow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yellow"/>
              </w:rPr>
              <w:t>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869.70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166.2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869.7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869.70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克州司法局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1065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50"/>
        <w:gridCol w:w="525"/>
        <w:gridCol w:w="1489"/>
        <w:gridCol w:w="851"/>
        <w:gridCol w:w="885"/>
        <w:gridCol w:w="345"/>
        <w:gridCol w:w="435"/>
        <w:gridCol w:w="615"/>
        <w:gridCol w:w="645"/>
        <w:gridCol w:w="810"/>
        <w:gridCol w:w="405"/>
        <w:gridCol w:w="636"/>
        <w:gridCol w:w="834"/>
        <w:gridCol w:w="30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yellow"/>
              </w:rPr>
              <w:t>国有资本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  <w:highlight w:val="yellow"/>
              </w:rPr>
              <w:t>经营预算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级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补助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收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入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单位上年结余（不包含国库集中支付额度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jc w:val="both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166.2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17.00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司法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869.70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628.5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166.2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17.00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17.00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行政运行（司法）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812.70 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588.50 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869.70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628.5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166.2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17.00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55.00</w:t>
            </w:r>
          </w:p>
        </w:tc>
      </w:tr>
    </w:tbl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克州司法局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25"/>
        <w:gridCol w:w="525"/>
        <w:gridCol w:w="2185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公共安全支出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869.70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812.70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司法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869.70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812.70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57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普法宣传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30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30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行政运行（司法）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812.70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812.70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其他司法支出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27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869.70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812.70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57.00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编制部门位）：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克州司法局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           单位：万元</w:t>
      </w:r>
    </w:p>
    <w:tbl>
      <w:tblPr>
        <w:tblStyle w:val="7"/>
        <w:tblpPr w:leftFromText="180" w:rightFromText="180" w:vertAnchor="text" w:tblpY="1"/>
        <w:tblOverlap w:val="never"/>
        <w:tblW w:w="94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55"/>
        <w:gridCol w:w="2580"/>
        <w:gridCol w:w="901"/>
        <w:gridCol w:w="850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yellow"/>
              </w:rPr>
              <w:t>国有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yellow"/>
              </w:rPr>
              <w:t>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628.5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628.5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yellow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yellow"/>
              </w:rPr>
              <w:t>经营预算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628.50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628.50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与计划生育支出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628.5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628.50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628.50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ascii="仿宋_GB2312" w:hAnsi="宋体" w:eastAsia="仿宋_GB2312"/>
          <w:b/>
          <w:kern w:val="0"/>
          <w:sz w:val="28"/>
          <w:szCs w:val="32"/>
        </w:rPr>
        <w:br w:type="textWrapping" w:clear="all"/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克州司法局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628.50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588.50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40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628.50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588.50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144.01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177.85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177.85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43.4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普法宣传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33.74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19.88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46.56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46.56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46.71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其他司法支出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其他司法支出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行政运行（司法）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628.50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克州司法局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553.14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177.85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46.56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46.56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46.71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33.74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588.5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553.14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35.37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6"/>
        <w:gridCol w:w="406"/>
        <w:gridCol w:w="465"/>
        <w:gridCol w:w="1440"/>
        <w:gridCol w:w="765"/>
        <w:gridCol w:w="728"/>
        <w:gridCol w:w="459"/>
        <w:gridCol w:w="703"/>
        <w:gridCol w:w="485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克州司法局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5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8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公共安全支出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　</w:t>
            </w:r>
          </w:p>
        </w:tc>
        <w:tc>
          <w:tcPr>
            <w:tcW w:w="76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204</w:t>
            </w:r>
          </w:p>
        </w:tc>
        <w:tc>
          <w:tcPr>
            <w:tcW w:w="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</w:t>
            </w:r>
          </w:p>
        </w:tc>
        <w:tc>
          <w:tcPr>
            <w:tcW w:w="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普法宣传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普法等工作经费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204</w:t>
            </w:r>
          </w:p>
        </w:tc>
        <w:tc>
          <w:tcPr>
            <w:tcW w:w="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联建工作经费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2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40.00</w:t>
            </w:r>
          </w:p>
        </w:tc>
        <w:tc>
          <w:tcPr>
            <w:tcW w:w="45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703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40.00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克州司法局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克州司法局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克孜勒苏柯尔克孜自治州司法局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2021年无政府性基金预算拨款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说明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支出本表为空表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869.7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628.5万元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、上级专项收入17万元、单位其他资金收入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、上级补助收入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166.2万元、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yellow"/>
          <w:shd w:val="clear" w:color="FFFFFF" w:fill="D9D9D9"/>
        </w:rPr>
        <w:t>国有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yellow"/>
          <w:shd w:val="clear" w:color="FFFFFF" w:fill="D9D9D9"/>
        </w:rPr>
        <w:t>资金经营预算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支出预算包括：公共安全支出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869.7万元。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869.7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29.71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人员调出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国有资本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经营预算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上级专项收入17万元，占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1.95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各县市司法局办案经费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166.2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166.2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各县市司法局办案经费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单位其他资金收入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中央彩票援助资金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；；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869.7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812.7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增加替换设备的采购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:项目未变动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yellow"/>
        </w:rPr>
        <w:t>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</w:rPr>
        <w:t>收入预算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yellow"/>
        </w:rPr>
        <w:t>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  <w:lang w:val="en-US" w:eastAsia="zh-CN"/>
        </w:rPr>
        <w:t>628.5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</w:rPr>
        <w:t>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yellow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</w:rPr>
        <w:t>一般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yellow"/>
        </w:rPr>
        <w:t>公共预算支出包括：一般公共服务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</w:rPr>
        <w:t>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  <w:lang w:val="en-US" w:eastAsia="zh-CN"/>
        </w:rPr>
        <w:t>628.5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</w:rPr>
        <w:t>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yellow"/>
        </w:rPr>
        <w:t>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  <w:lang w:eastAsia="zh-CN"/>
        </w:rPr>
        <w:t>公共安全支出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yellow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628.5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万元，其中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588.5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29.71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4.72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，比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上年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%。主要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原因</w:t>
      </w:r>
      <w:r>
        <w:rPr>
          <w:rFonts w:ascii="仿宋_GB2312" w:hAnsi="宋体" w:eastAsia="仿宋_GB2312" w:cs="宋体"/>
          <w:kern w:val="0"/>
          <w:sz w:val="32"/>
          <w:szCs w:val="32"/>
          <w:highlight w:val="yellow"/>
        </w:rPr>
        <w:t>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项目未变动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 xml:space="preserve">       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1.公共安全支出 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628.5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元，占100%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204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06</w:t>
      </w:r>
      <w:r>
        <w:rPr>
          <w:rFonts w:ascii="仿宋_GB2312" w:hAnsi="宋体" w:eastAsia="仿宋_GB2312" w:cs="宋体"/>
          <w:kern w:val="0"/>
          <w:sz w:val="32"/>
          <w:szCs w:val="32"/>
        </w:rPr>
        <w:t>款）行政运行（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588.5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人员调出，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工资变动、社保、公积金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204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06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普法宣传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增加0万元，增长0%，主要原因是：项目未变化。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>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204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06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其他司法支出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99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项目未变化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553.14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144.01万元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177.85万元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46.56万元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46.71万元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、离休费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、退休费、退职（役）费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19.88万元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用品及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2.02万元、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：“七五”普法项目及法宣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根据中央、自治区、自治州相关文件规定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年1月-12月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联建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工作经费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根据自治区群众工作项目资金的安排，列入年初预算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克州司法局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年1月-12月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年一般公共预算“三公”经费数为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年一般公共预算“三公”经费比上年增加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无人出国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没有购车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上年度用的是结余未做入预算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    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在预算中未安排政府性基金预算的部门（单位），必须公开空表，同时做以下说明：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人员调出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>年度本部门（单位）面向中小企业预留政府采购项目预算金额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克州司法局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万元；其中：一般公务用车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235.5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508.84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年部门（单位）预算未安排购置车辆经费（或安排购置车辆经费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 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年度，本年度实行绩效管理的一般公共预算项目   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克州司法局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七五普法经费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入开展法制宣传教育，增强全民法治观念，为认真贯彻落实党的十九大和十九届二中、三中、四中全会精神，加大全民普法力度，提高全民法治素养，推进“七五”普法各项任务的全面落实，开展普法宣传工作，对租金社会法治建设，开展法律宣传，维护社会稳定具有十分重要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普法宣讲次数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≥12次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受普法单位（个）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宣传费用（（万元）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印制宣传材料费用（万元）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促进管理工作规范化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有效促进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降低犯罪率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受益群众满意度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ind w:firstLine="964" w:firstLineChars="300"/>
              <w:jc w:val="both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克州司法局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以认真负责的态度，开展好群众工作，协助访惠聚工作人员对库尔干村的群众工作、安居富民、农忙期间棉田拾花等工作，与群众产生了深厚的鱼水情。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办公设备购置（次）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≥6次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开展慰问、联谊、文体活动（次）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入户走访建档立卡贫困户（户）数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≥387次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资金使用合规率（%）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资金执行率（%）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活动费用（万元）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办公用品费用（万元）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工作经费（万元）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保障基层工作情况需要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达成预期指标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巩固民族团结，助推脱贫攻坚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效果显著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受益群众满意度（%）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克州司法局没有其他需要说明的事项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yellow"/>
        </w:rPr>
        <w:t>指由一般公共预算、政府性基金预算、</w:t>
      </w:r>
      <w:r>
        <w:rPr>
          <w:rFonts w:ascii="仿宋_GB2312" w:eastAsia="仿宋_GB2312"/>
          <w:sz w:val="32"/>
          <w:szCs w:val="32"/>
          <w:highlight w:val="yellow"/>
        </w:rPr>
        <w:t>国有资本经营预算</w:t>
      </w:r>
      <w:r>
        <w:rPr>
          <w:rFonts w:hint="eastAsia" w:ascii="仿宋_GB2312" w:eastAsia="仿宋_GB2312"/>
          <w:sz w:val="32"/>
          <w:szCs w:val="32"/>
          <w:highlight w:val="yellow"/>
        </w:rPr>
        <w:t>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部门（单位）支出预算的组成部分，是自治区本级部门（单位）为完成其特定的行政任务或事业发展目标，在基本支出预算之外编制的年度项目支出计划。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克州司法局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31" w:y="37"/>
      <w:jc w:val="right"/>
      <w:rPr>
        <w:rStyle w:val="11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1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11"/>
        <w:rFonts w:hint="eastAsia" w:ascii="宋体" w:hAnsi="宋体" w:eastAsia="宋体"/>
        <w:sz w:val="28"/>
      </w:rPr>
      <w:t xml:space="preserve"> 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56" w:y="37"/>
      <w:rPr>
        <w:rStyle w:val="11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54ABF"/>
    <w:rsid w:val="0009522A"/>
    <w:rsid w:val="000C2AA9"/>
    <w:rsid w:val="00121764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422D6"/>
    <w:rsid w:val="00493EEC"/>
    <w:rsid w:val="004C06DA"/>
    <w:rsid w:val="004F62F9"/>
    <w:rsid w:val="00520D5A"/>
    <w:rsid w:val="006A3660"/>
    <w:rsid w:val="006B6A8C"/>
    <w:rsid w:val="007219F8"/>
    <w:rsid w:val="007E2CEA"/>
    <w:rsid w:val="009035BA"/>
    <w:rsid w:val="00950B98"/>
    <w:rsid w:val="0096028F"/>
    <w:rsid w:val="0099744C"/>
    <w:rsid w:val="009C6198"/>
    <w:rsid w:val="00A9706D"/>
    <w:rsid w:val="00BA582F"/>
    <w:rsid w:val="00C117E5"/>
    <w:rsid w:val="00CA4E1E"/>
    <w:rsid w:val="00CE5389"/>
    <w:rsid w:val="00DC05BF"/>
    <w:rsid w:val="00E569BC"/>
    <w:rsid w:val="00EF4090"/>
    <w:rsid w:val="00F23808"/>
    <w:rsid w:val="00F54FE8"/>
    <w:rsid w:val="00F830A1"/>
    <w:rsid w:val="00F83503"/>
    <w:rsid w:val="00F90952"/>
    <w:rsid w:val="02AE5709"/>
    <w:rsid w:val="02D966B6"/>
    <w:rsid w:val="04E94E7C"/>
    <w:rsid w:val="09973B6F"/>
    <w:rsid w:val="190C151E"/>
    <w:rsid w:val="2A48109C"/>
    <w:rsid w:val="2A973C38"/>
    <w:rsid w:val="2AA531D3"/>
    <w:rsid w:val="2B9374D1"/>
    <w:rsid w:val="306F408B"/>
    <w:rsid w:val="324E3B6E"/>
    <w:rsid w:val="34CD533A"/>
    <w:rsid w:val="36300F43"/>
    <w:rsid w:val="37E13045"/>
    <w:rsid w:val="38766387"/>
    <w:rsid w:val="3EA766B6"/>
    <w:rsid w:val="43E8753D"/>
    <w:rsid w:val="472D1D45"/>
    <w:rsid w:val="4A0234E6"/>
    <w:rsid w:val="4AC86CA1"/>
    <w:rsid w:val="4FCC756A"/>
    <w:rsid w:val="52B14CCA"/>
    <w:rsid w:val="559A472E"/>
    <w:rsid w:val="5AA71F7E"/>
    <w:rsid w:val="5E0D3CB9"/>
    <w:rsid w:val="646E6570"/>
    <w:rsid w:val="68085AE7"/>
    <w:rsid w:val="69C92F84"/>
    <w:rsid w:val="708E785C"/>
    <w:rsid w:val="711E7358"/>
    <w:rsid w:val="7A295DA8"/>
    <w:rsid w:val="7CC8055B"/>
    <w:rsid w:val="7F2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link w:val="2"/>
    <w:semiHidden/>
    <w:qFormat/>
    <w:uiPriority w:val="0"/>
    <w:rPr>
      <w:sz w:val="18"/>
      <w:szCs w:val="18"/>
    </w:rPr>
  </w:style>
  <w:style w:type="character" w:customStyle="1" w:styleId="15">
    <w:name w:val="正文文本缩进 3 字符"/>
    <w:link w:val="5"/>
    <w:qFormat/>
    <w:uiPriority w:val="0"/>
    <w:rPr>
      <w:rFonts w:eastAsia="仿宋_GB2312"/>
      <w:sz w:val="32"/>
      <w:szCs w:val="24"/>
    </w:rPr>
  </w:style>
  <w:style w:type="paragraph" w:customStyle="1" w:styleId="16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正文文本缩进 3 字符1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批注框文本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2455</Words>
  <Characters>13996</Characters>
  <Lines>116</Lines>
  <Paragraphs>32</Paragraphs>
  <TotalTime>32</TotalTime>
  <ScaleCrop>false</ScaleCrop>
  <LinksUpToDate>false</LinksUpToDate>
  <CharactersWithSpaces>16419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2021-02-07T10:41:00Z</dcterms:created>
  <dc:creator>薛理升</dc:creator>
  <cp:lastModifiedBy>Administrator</cp:lastModifiedBy>
  <cp:lastPrinted>2021-03-03T10:08:51Z</cp:lastPrinted>
  <dcterms:modified xsi:type="dcterms:W3CDTF">2021-03-03T10:11:57Z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