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drawing>
          <wp:inline distT="0" distB="0" distL="114300" distR="114300">
            <wp:extent cx="5569585" cy="8119745"/>
            <wp:effectExtent l="0" t="0" r="12065" b="14605"/>
            <wp:docPr id="1" name="图片 1" descr="754af4ee81c1892cdbdba3b22c3e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54af4ee81c1892cdbdba3b22c3e15c"/>
                    <pic:cNvPicPr>
                      <a:picLocks noChangeAspect="1"/>
                    </pic:cNvPicPr>
                  </pic:nvPicPr>
                  <pic:blipFill>
                    <a:blip r:embed="rId8"/>
                    <a:stretch>
                      <a:fillRect/>
                    </a:stretch>
                  </pic:blipFill>
                  <pic:spPr>
                    <a:xfrm>
                      <a:off x="0" y="0"/>
                      <a:ext cx="5569585" cy="8119745"/>
                    </a:xfrm>
                    <a:prstGeom prst="rect">
                      <a:avLst/>
                    </a:prstGeom>
                  </pic:spPr>
                </pic:pic>
              </a:graphicData>
            </a:graphic>
          </wp:inline>
        </w:drawing>
      </w:r>
    </w:p>
    <w:p>
      <w:pPr>
        <w:rPr>
          <w:rFonts w:ascii="宋体" w:hAnsi="宋体" w:cs="宋体"/>
          <w:b/>
          <w:bCs/>
          <w:kern w:val="0"/>
          <w:sz w:val="44"/>
          <w:szCs w:val="44"/>
        </w:rPr>
      </w:pPr>
      <w:r>
        <w:rPr>
          <w:rFonts w:hint="eastAsia" w:ascii="黑体" w:hAnsi="黑体" w:eastAsia="黑体"/>
          <w:sz w:val="32"/>
          <w:szCs w:val="32"/>
        </w:rPr>
        <w:t>附件：</w:t>
      </w: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b/>
          <w:bCs/>
          <w:kern w:val="0"/>
          <w:sz w:val="32"/>
          <w:szCs w:val="32"/>
        </w:rPr>
      </w:pPr>
      <w:r>
        <w:rPr>
          <w:rFonts w:hint="eastAsia" w:ascii="方正小标宋_GBK" w:hAnsi="宋体" w:eastAsia="方正小标宋_GBK"/>
          <w:b/>
          <w:bCs/>
          <w:kern w:val="0"/>
          <w:sz w:val="32"/>
          <w:szCs w:val="32"/>
        </w:rPr>
        <w:t>克孜勒苏柯尔克孜自治州克州妇幼保健计划生育服务中心</w:t>
      </w:r>
    </w:p>
    <w:p>
      <w:pPr>
        <w:widowControl/>
        <w:spacing w:before="100" w:beforeAutospacing="1" w:after="100" w:afterAutospacing="1"/>
        <w:jc w:val="center"/>
        <w:outlineLvl w:val="1"/>
        <w:rPr>
          <w:rFonts w:ascii="方正小标宋_GBK" w:hAnsi="宋体" w:eastAsia="方正小标宋_GBK"/>
          <w:b/>
          <w:bCs/>
          <w:kern w:val="0"/>
          <w:sz w:val="32"/>
          <w:szCs w:val="32"/>
        </w:rPr>
      </w:pPr>
      <w:r>
        <w:rPr>
          <w:rFonts w:hint="eastAsia" w:ascii="方正小标宋_GBK" w:hAnsi="宋体" w:eastAsia="方正小标宋_GBK"/>
          <w:b/>
          <w:bCs/>
          <w:kern w:val="0"/>
          <w:sz w:val="32"/>
          <w:szCs w:val="32"/>
        </w:rPr>
        <w:t>2021年预算公开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克孜勒苏柯尔克孜自治州妇幼保健计划生育服务中心部门概况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2021年部门（单位）预算公开表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一、克孜勒苏柯尔克孜自治州妇幼保健计划生育服务中心部门（单位）收支总体情况表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二、克孜勒苏柯尔克孜自治州妇幼保健计划生育服务中心部门（单位）收入总体情况表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三、克孜勒苏柯尔克孜自治州妇幼保健计划生育服务中心部门（单位）支出总体情况表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2021年部门（单位）预算情况说明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一、关于克州妇幼保健计划生育服务中心2021年收支预算情况的总体说明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二、关于克州妇幼保健计划生育服务中心2021年收入预算情况说明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三、关于克州妇幼保健计划生育服务中心2021年支出预算情况说明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克州妇幼保健计划生育服务中心2021年</w:t>
      </w:r>
      <w:r>
        <w:rPr>
          <w:rFonts w:hint="eastAsia" w:ascii="仿宋_GB2312" w:hAnsi="宋体" w:eastAsia="仿宋_GB2312"/>
          <w:bCs/>
          <w:kern w:val="0"/>
          <w:sz w:val="32"/>
          <w:szCs w:val="32"/>
        </w:rPr>
        <w:t>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五、关于克州妇幼保健计划生育服务中心2021年一般公共预算当年拨款情况说明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六、关于克州妇幼保健计划生育服务中心2021年一般公共预算基本支出情况说明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七、关于克州妇幼保健计划生育服务中心2021年年一般公共预算“三公”经费预算情况说明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九、关于克州妇幼保健计划生育服务中心2021年政府性基金预算拨款情况说明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outlineLvl w:val="1"/>
        <w:rPr>
          <w:rFonts w:ascii="宋体" w:hAnsi="宋体"/>
          <w:b/>
          <w:kern w:val="0"/>
          <w:sz w:val="32"/>
          <w:szCs w:val="32"/>
        </w:rPr>
      </w:pPr>
    </w:p>
    <w:p>
      <w:pPr>
        <w:widowControl/>
        <w:jc w:val="center"/>
        <w:outlineLvl w:val="1"/>
        <w:rPr>
          <w:rFonts w:ascii="黑体" w:hAnsi="黑体" w:eastAsia="黑体"/>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kern w:val="0"/>
          <w:sz w:val="32"/>
          <w:szCs w:val="32"/>
        </w:rPr>
        <w:t>第一部分   克州妇幼保健计划生育服务中心概况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 w:hAnsi="仿宋" w:eastAsia="仿宋" w:cs="宋体"/>
          <w:color w:val="414141"/>
          <w:kern w:val="0"/>
          <w:sz w:val="32"/>
          <w:szCs w:val="32"/>
        </w:rPr>
        <w:t>克州妇幼保健计划生育服务中心切实履行公共卫生职责，开展与妇女儿童健康密切相关的基本医疗服务，完成克州党委、克州人民政府下达的指令性任务，掌握全州妇女儿童健康状况及影响因素，协助卫生和计划生育委员会制定本辖区妇幼工作的相关政策、技术规范及各项规章制度。受卫生和计划生育委员会委托对本辖区各级各类医疗保健机构开展的妇幼卫生服务进行检查、考核与评价。任务是：负责指导和开展本辖区的妇幼保健健康教育与健康促进工作，组织实施本辖区母婴保健技术培训，对基层医疗保健机构开展业务指导，并提供技术支持、负责本辖区孕产妇死亡、婴儿及5岁以下儿童死亡、出生缺陷监测、妇幼卫生服务及技术管理等信息的收集、统计、分析、质量控制和汇总上报、开展妇女保健服务，包括青春期保健、婚前和孕前保健、孕产期保健、更年期保健、老年期保健、心理卫生咨询、营养指导、计划生育技术服务、生殖道感染、性传播疾病、妇女常见病防治等、开展儿童保健服务，包括胎儿期、新生儿期、婴幼儿期、学龄前期及学龄期保健，受卫生和计划生育委员会委托对托幼机构卫生保健进行管理和业务指导。开展儿童营养与喂养指导、生长发育监测、心理行为咨询、儿童疾病综合管理等儿童保健服务、开展妇幼卫生、生殖健康的应用性科学研究并组织推广适宜技术、开展妇女儿童常见疾病诊治、计划生育技术服务、产前筛查、新生儿疾病筛查、助产技术服务、产前诊断、产科并发症处理、新生儿危重症抢救和治疗等。</w:t>
      </w:r>
      <w:r>
        <w:rPr>
          <w:rFonts w:hint="eastAsia" w:ascii="仿宋_GB2312" w:hAnsi="宋体" w:eastAsia="仿宋_GB2312" w:cs="宋体"/>
          <w:bCs/>
          <w:kern w:val="0"/>
          <w:sz w:val="32"/>
          <w:szCs w:val="32"/>
        </w:rPr>
        <w:t xml:space="preserve"> </w:t>
      </w:r>
    </w:p>
    <w:p>
      <w:pPr>
        <w:widowControl/>
        <w:spacing w:line="56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jc w:val="left"/>
        <w:rPr>
          <w:rFonts w:ascii="仿宋" w:hAnsi="仿宋" w:eastAsia="仿宋" w:cs="宋体"/>
          <w:color w:val="414141"/>
          <w:kern w:val="0"/>
          <w:sz w:val="32"/>
          <w:szCs w:val="32"/>
        </w:rPr>
      </w:pPr>
      <w:r>
        <w:rPr>
          <w:rFonts w:hint="eastAsia" w:ascii="黑体" w:hAnsi="黑体" w:eastAsia="黑体" w:cs="宋体"/>
          <w:b/>
          <w:bCs/>
          <w:kern w:val="0"/>
          <w:sz w:val="32"/>
          <w:szCs w:val="32"/>
        </w:rPr>
        <w:t xml:space="preserve">   </w:t>
      </w:r>
      <w:r>
        <w:rPr>
          <w:rFonts w:hint="eastAsia" w:ascii="仿宋" w:hAnsi="仿宋" w:eastAsia="仿宋" w:cs="宋体"/>
          <w:color w:val="414141"/>
          <w:kern w:val="0"/>
          <w:sz w:val="32"/>
          <w:szCs w:val="32"/>
        </w:rPr>
        <w:t>克州妇幼保健计划生育服务中心无下属预算单位，下设12个科室，分别是：办公室、医教科、护理部、设备科、财务科、总务科、妇女保健科、儿童保健科、生殖健康科、健康教育科、信息管理科、临床医技科室。</w:t>
      </w:r>
    </w:p>
    <w:p>
      <w:pPr>
        <w:widowControl/>
        <w:spacing w:line="560" w:lineRule="exact"/>
        <w:ind w:firstLine="640" w:firstLineChars="200"/>
        <w:jc w:val="left"/>
        <w:rPr>
          <w:rFonts w:ascii="仿宋_GB2312" w:hAnsi="宋体" w:eastAsia="仿宋" w:cs="宋体"/>
          <w:b/>
          <w:kern w:val="0"/>
          <w:sz w:val="32"/>
          <w:szCs w:val="32"/>
        </w:rPr>
      </w:pPr>
      <w:r>
        <w:rPr>
          <w:rFonts w:hint="eastAsia" w:ascii="仿宋" w:hAnsi="仿宋" w:eastAsia="仿宋" w:cs="宋体"/>
          <w:color w:val="414141"/>
          <w:kern w:val="0"/>
          <w:sz w:val="32"/>
          <w:szCs w:val="32"/>
        </w:rPr>
        <w:t>克州妇幼保健计划生育服务中心编制</w:t>
      </w:r>
      <w:r>
        <w:rPr>
          <w:rFonts w:hint="eastAsia" w:ascii="仿宋" w:hAnsi="仿宋" w:eastAsia="仿宋" w:cs="宋体"/>
          <w:kern w:val="0"/>
          <w:sz w:val="32"/>
          <w:szCs w:val="32"/>
        </w:rPr>
        <w:t>数114，实有人数1</w:t>
      </w:r>
      <w:r>
        <w:rPr>
          <w:rFonts w:ascii="仿宋" w:hAnsi="仿宋" w:eastAsia="仿宋" w:cs="宋体"/>
          <w:kern w:val="0"/>
          <w:sz w:val="32"/>
          <w:szCs w:val="32"/>
        </w:rPr>
        <w:t>59</w:t>
      </w:r>
      <w:r>
        <w:rPr>
          <w:rFonts w:hint="eastAsia" w:ascii="仿宋" w:hAnsi="仿宋" w:eastAsia="仿宋" w:cs="宋体"/>
          <w:kern w:val="0"/>
          <w:sz w:val="32"/>
          <w:szCs w:val="32"/>
        </w:rPr>
        <w:t>人。其中：在职 120人，增加2人；退休 38人，增加 0人；离休1人，增加 0人。</w:t>
      </w: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outlineLvl w:val="1"/>
        <w:rPr>
          <w:rFonts w:ascii="黑体" w:hAnsi="黑体" w:eastAsia="黑体"/>
          <w:kern w:val="0"/>
          <w:sz w:val="32"/>
          <w:szCs w:val="32"/>
        </w:rPr>
      </w:pPr>
    </w:p>
    <w:p>
      <w:pPr>
        <w:widowControl/>
        <w:spacing w:line="280" w:lineRule="exact"/>
        <w:jc w:val="center"/>
        <w:outlineLvl w:val="1"/>
        <w:rPr>
          <w:rFonts w:ascii="黑体" w:hAnsi="黑体" w:eastAsia="黑体"/>
          <w:kern w:val="0"/>
          <w:sz w:val="32"/>
          <w:szCs w:val="32"/>
        </w:rPr>
      </w:pPr>
      <w:r>
        <w:rPr>
          <w:rFonts w:hint="eastAsia" w:ascii="黑体" w:hAnsi="黑体" w:eastAsia="黑体"/>
          <w:kern w:val="0"/>
          <w:sz w:val="32"/>
          <w:szCs w:val="32"/>
        </w:rPr>
        <w:t>第二部分  2021年部门预算公开表</w:t>
      </w:r>
    </w:p>
    <w:p>
      <w:pPr>
        <w:widowControl/>
        <w:spacing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b/>
          <w:kern w:val="0"/>
          <w:sz w:val="32"/>
          <w:szCs w:val="32"/>
        </w:rPr>
      </w:pPr>
      <w:r>
        <w:rPr>
          <w:rFonts w:hint="eastAsia" w:ascii="仿宋_GB2312" w:hAnsi="宋体" w:eastAsia="仿宋_GB2312"/>
          <w:kern w:val="0"/>
          <w:sz w:val="24"/>
        </w:rPr>
        <w:t>编制部门（单位）：克州妇幼保健计划生育服务中心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 xml:space="preserve">1,703.47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 xml:space="preserve">1,703.47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ind w:firstLine="360" w:firstLineChars="20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w:t>
            </w:r>
            <w:r>
              <w:rPr>
                <w:rFonts w:ascii="仿宋_GB2312" w:hAnsi="宋体" w:eastAsia="仿宋_GB2312" w:cs="宋体"/>
                <w:kern w:val="0"/>
                <w:sz w:val="18"/>
                <w:szCs w:val="18"/>
              </w:rPr>
              <w:t>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 xml:space="preserve">260.00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18"/>
                <w:szCs w:val="18"/>
                <w:lang w:bidi="ar"/>
              </w:rPr>
              <w:t xml:space="preserve">32.00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18"/>
                <w:szCs w:val="18"/>
                <w:lang w:bidi="ar"/>
              </w:rPr>
              <w:t xml:space="preserve">2,410.51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57" w:hRule="exact"/>
        </w:trPr>
        <w:tc>
          <w:tcPr>
            <w:tcW w:w="2280" w:type="dxa"/>
            <w:tcBorders>
              <w:top w:val="nil"/>
              <w:left w:val="single" w:color="auto" w:sz="4" w:space="0"/>
              <w:bottom w:val="single" w:color="auto" w:sz="4" w:space="0"/>
              <w:right w:val="nil"/>
            </w:tcBorders>
            <w:vAlign w:val="bottom"/>
          </w:tcPr>
          <w:p>
            <w:pPr>
              <w:widowControl/>
              <w:jc w:val="left"/>
              <w:textAlignment w:val="bottom"/>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18"/>
                <w:szCs w:val="18"/>
                <w:lang w:bidi="ar"/>
              </w:rPr>
            </w:pPr>
          </w:p>
        </w:tc>
        <w:tc>
          <w:tcPr>
            <w:tcW w:w="1701" w:type="dxa"/>
            <w:tcBorders>
              <w:top w:val="nil"/>
              <w:left w:val="nil"/>
              <w:bottom w:val="single" w:color="auto" w:sz="4" w:space="0"/>
              <w:right w:val="single" w:color="auto" w:sz="4" w:space="0"/>
            </w:tcBorders>
            <w:vAlign w:val="center"/>
          </w:tcPr>
          <w:p>
            <w:pPr>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本 年 收 入 小  计</w:t>
            </w:r>
          </w:p>
        </w:tc>
        <w:tc>
          <w:tcPr>
            <w:tcW w:w="1988" w:type="dxa"/>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lang w:bidi="ar"/>
              </w:rPr>
              <w:t xml:space="preserve">1,995.47 </w:t>
            </w:r>
          </w:p>
        </w:tc>
        <w:tc>
          <w:tcPr>
            <w:tcW w:w="2693" w:type="dxa"/>
            <w:tcBorders>
              <w:top w:val="nil"/>
              <w:left w:val="nil"/>
              <w:bottom w:val="single" w:color="auto" w:sz="4" w:space="0"/>
              <w:right w:val="nil"/>
            </w:tcBorders>
            <w:vAlign w:val="center"/>
          </w:tcPr>
          <w:p>
            <w:pPr>
              <w:widowControl/>
              <w:jc w:val="center"/>
              <w:textAlignment w:val="center"/>
              <w:rPr>
                <w:rFonts w:ascii="仿宋_GB2312" w:hAnsi="宋体" w:eastAsia="仿宋_GB2312" w:cs="宋体"/>
                <w:kern w:val="0"/>
                <w:sz w:val="20"/>
                <w:szCs w:val="20"/>
              </w:rPr>
            </w:pPr>
            <w:r>
              <w:rPr>
                <w:rFonts w:hint="eastAsia" w:ascii="宋体" w:hAnsi="宋体" w:cs="宋体"/>
                <w:color w:val="000000"/>
                <w:kern w:val="0"/>
                <w:sz w:val="20"/>
                <w:szCs w:val="20"/>
                <w:lang w:bidi="ar"/>
              </w:rPr>
              <w:t>本  年  支  出  小  计</w:t>
            </w:r>
          </w:p>
        </w:tc>
        <w:tc>
          <w:tcPr>
            <w:tcW w:w="1701" w:type="dxa"/>
            <w:tcBorders>
              <w:top w:val="nil"/>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18"/>
                <w:szCs w:val="18"/>
                <w:lang w:bidi="ar"/>
              </w:rPr>
              <w:t xml:space="preserve">2,410.51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outlineLvl w:val="1"/>
        <w:rPr>
          <w:rFonts w:ascii="仿宋_GB2312" w:hAnsi="宋体" w:eastAsia="仿宋_GB2312"/>
          <w:b/>
          <w:kern w:val="0"/>
          <w:sz w:val="32"/>
          <w:szCs w:val="32"/>
        </w:rPr>
      </w:pPr>
      <w:r>
        <w:rPr>
          <w:rFonts w:hint="eastAsia" w:ascii="仿宋_GB2312" w:hAnsi="宋体" w:eastAsia="仿宋_GB2312"/>
          <w:kern w:val="0"/>
          <w:sz w:val="24"/>
        </w:rPr>
        <w:t>编制部门（单位）：克州妇幼保健计划生育服务中心               单位：万元</w:t>
      </w:r>
    </w:p>
    <w:tbl>
      <w:tblPr>
        <w:tblStyle w:val="7"/>
        <w:tblW w:w="10651" w:type="dxa"/>
        <w:tblInd w:w="-450" w:type="dxa"/>
        <w:tblLayout w:type="fixed"/>
        <w:tblCellMar>
          <w:top w:w="0" w:type="dxa"/>
          <w:left w:w="108" w:type="dxa"/>
          <w:bottom w:w="0" w:type="dxa"/>
          <w:right w:w="108" w:type="dxa"/>
        </w:tblCellMar>
      </w:tblPr>
      <w:tblGrid>
        <w:gridCol w:w="331"/>
        <w:gridCol w:w="331"/>
        <w:gridCol w:w="331"/>
        <w:gridCol w:w="1295"/>
        <w:gridCol w:w="992"/>
        <w:gridCol w:w="851"/>
        <w:gridCol w:w="850"/>
        <w:gridCol w:w="709"/>
        <w:gridCol w:w="709"/>
        <w:gridCol w:w="567"/>
        <w:gridCol w:w="567"/>
        <w:gridCol w:w="567"/>
        <w:gridCol w:w="567"/>
        <w:gridCol w:w="425"/>
        <w:gridCol w:w="709"/>
        <w:gridCol w:w="850"/>
      </w:tblGrid>
      <w:tr>
        <w:tblPrEx>
          <w:tblCellMar>
            <w:top w:w="0" w:type="dxa"/>
            <w:left w:w="108" w:type="dxa"/>
            <w:bottom w:w="0" w:type="dxa"/>
            <w:right w:w="108" w:type="dxa"/>
          </w:tblCellMar>
        </w:tblPrEx>
        <w:trPr>
          <w:trHeight w:val="2671"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70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国有资本</w:t>
            </w:r>
            <w:r>
              <w:rPr>
                <w:rFonts w:ascii="仿宋_GB2312" w:eastAsia="仿宋_GB2312"/>
                <w:b/>
                <w:color w:val="000000"/>
                <w:sz w:val="20"/>
                <w:szCs w:val="20"/>
              </w:rPr>
              <w:t>经营预算</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67" w:type="dxa"/>
            <w:tcBorders>
              <w:top w:val="single" w:color="auto" w:sz="4" w:space="0"/>
              <w:left w:val="single" w:color="auto" w:sz="4" w:space="0"/>
              <w:bottom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2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18"/>
                <w:szCs w:val="18"/>
                <w:lang w:bidi="ar"/>
              </w:rPr>
              <w:t>210</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sz w:val="20"/>
                <w:szCs w:val="20"/>
              </w:rPr>
            </w:pP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sz w:val="20"/>
                <w:szCs w:val="20"/>
              </w:rPr>
            </w:pP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sz w:val="20"/>
                <w:szCs w:val="20"/>
              </w:rPr>
            </w:pPr>
            <w:r>
              <w:rPr>
                <w:rFonts w:hint="eastAsia" w:ascii="宋体" w:hAnsi="宋体" w:cs="宋体"/>
                <w:color w:val="000000"/>
                <w:kern w:val="0"/>
                <w:sz w:val="18"/>
                <w:szCs w:val="18"/>
                <w:lang w:bidi="ar"/>
              </w:rPr>
              <w:t>卫生健康支出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2,410.51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1,703.47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260.00 </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32.00 </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415.04 </w:t>
            </w: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18"/>
                <w:szCs w:val="18"/>
                <w:lang w:bidi="ar"/>
              </w:rPr>
              <w:t>210</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sz w:val="20"/>
                <w:szCs w:val="20"/>
              </w:rPr>
            </w:pPr>
            <w:r>
              <w:rPr>
                <w:rFonts w:hint="eastAsia" w:ascii="宋体" w:hAnsi="宋体" w:cs="宋体"/>
                <w:color w:val="000000"/>
                <w:kern w:val="0"/>
                <w:sz w:val="18"/>
                <w:szCs w:val="18"/>
                <w:lang w:bidi="ar"/>
              </w:rPr>
              <w:t>04</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sz w:val="20"/>
                <w:szCs w:val="20"/>
              </w:rPr>
            </w:pP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sz w:val="20"/>
                <w:szCs w:val="20"/>
              </w:rPr>
            </w:pPr>
            <w:r>
              <w:rPr>
                <w:rFonts w:hint="eastAsia" w:ascii="宋体" w:hAnsi="宋体" w:cs="宋体"/>
                <w:color w:val="000000"/>
                <w:kern w:val="0"/>
                <w:sz w:val="18"/>
                <w:szCs w:val="18"/>
                <w:lang w:bidi="ar"/>
              </w:rPr>
              <w:t>公共卫生</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2,410.51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1,703.47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260.00 </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32.00 </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415.04 </w:t>
            </w: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210</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04</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99</w:t>
            </w: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其他公共卫生支出</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379.00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97.00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32.00 </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250.00 </w:t>
            </w: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210</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04</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09</w:t>
            </w: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重大公共卫生服务</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370.50 </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260.00 </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110.50 </w:t>
            </w: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210</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04</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03</w:t>
            </w: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妇幼保健机构</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1,606.47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1,606.47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210</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04</w:t>
            </w:r>
          </w:p>
        </w:tc>
        <w:tc>
          <w:tcPr>
            <w:tcW w:w="33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08</w:t>
            </w: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基本公共卫生服务</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54.54 </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54.54 </w:t>
            </w: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trPr>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681" w:hRule="atLeast"/>
        </w:trPr>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3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2,410.51 </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lang w:bidi="ar"/>
              </w:rPr>
              <w:t xml:space="preserve">1,703.47 </w:t>
            </w:r>
          </w:p>
        </w:tc>
        <w:tc>
          <w:tcPr>
            <w:tcW w:w="85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260.00 </w:t>
            </w: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20"/>
                <w:szCs w:val="20"/>
              </w:rPr>
            </w:pPr>
          </w:p>
        </w:tc>
        <w:tc>
          <w:tcPr>
            <w:tcW w:w="42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32.00 </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20"/>
                <w:szCs w:val="20"/>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仿宋_GB2312" w:eastAsia="仿宋_GB2312"/>
                <w:color w:val="000000"/>
                <w:sz w:val="20"/>
                <w:szCs w:val="20"/>
              </w:rPr>
            </w:pPr>
            <w:r>
              <w:rPr>
                <w:rFonts w:hint="eastAsia" w:ascii="宋体" w:hAnsi="宋体" w:cs="宋体"/>
                <w:color w:val="000000"/>
                <w:kern w:val="0"/>
                <w:sz w:val="20"/>
                <w:szCs w:val="20"/>
                <w:lang w:bidi="ar"/>
              </w:rPr>
              <w:t xml:space="preserve">415.04 </w:t>
            </w:r>
          </w:p>
        </w:tc>
      </w:tr>
    </w:tbl>
    <w:p>
      <w:pPr>
        <w:widowControl/>
        <w:spacing w:line="280" w:lineRule="exact"/>
        <w:outlineLvl w:val="1"/>
        <w:rPr>
          <w:rFonts w:ascii="仿宋_GB2312" w:hAnsi="宋体" w:eastAsia="仿宋_GB2312"/>
          <w:b/>
          <w:kern w:val="0"/>
          <w:sz w:val="28"/>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spacing w:line="280" w:lineRule="exact"/>
        <w:jc w:val="center"/>
        <w:outlineLvl w:val="1"/>
        <w:rPr>
          <w:rFonts w:ascii="仿宋_GB2312" w:hAnsi="宋体" w:eastAsia="仿宋_GB2312"/>
          <w:b/>
          <w:kern w:val="0"/>
          <w:sz w:val="32"/>
          <w:szCs w:val="32"/>
        </w:rPr>
      </w:pPr>
    </w:p>
    <w:p>
      <w:pPr>
        <w:widowControl/>
        <w:outlineLvl w:val="1"/>
        <w:rPr>
          <w:rFonts w:ascii="仿宋_GB2312" w:hAnsi="宋体" w:eastAsia="仿宋_GB2312"/>
          <w:kern w:val="0"/>
          <w:sz w:val="24"/>
        </w:rPr>
      </w:pPr>
      <w:r>
        <w:rPr>
          <w:rFonts w:hint="eastAsia" w:ascii="仿宋_GB2312" w:hAnsi="宋体" w:eastAsia="仿宋_GB2312"/>
          <w:kern w:val="0"/>
          <w:sz w:val="24"/>
        </w:rPr>
        <w:t>编制部门（单位）：克州妇幼保健计划生育服务中心                 单位：万元</w:t>
      </w:r>
    </w:p>
    <w:tbl>
      <w:tblPr>
        <w:tblStyle w:val="7"/>
        <w:tblW w:w="9494" w:type="dxa"/>
        <w:tblInd w:w="-240" w:type="dxa"/>
        <w:tblLayout w:type="fixed"/>
        <w:tblCellMar>
          <w:top w:w="0" w:type="dxa"/>
          <w:left w:w="108" w:type="dxa"/>
          <w:bottom w:w="0" w:type="dxa"/>
          <w:right w:w="108" w:type="dxa"/>
        </w:tblCellMar>
      </w:tblPr>
      <w:tblGrid>
        <w:gridCol w:w="559"/>
        <w:gridCol w:w="480"/>
        <w:gridCol w:w="570"/>
        <w:gridCol w:w="2270"/>
        <w:gridCol w:w="1855"/>
        <w:gridCol w:w="1856"/>
        <w:gridCol w:w="1904"/>
      </w:tblGrid>
      <w:tr>
        <w:tblPrEx>
          <w:tblCellMar>
            <w:top w:w="0" w:type="dxa"/>
            <w:left w:w="108" w:type="dxa"/>
            <w:bottom w:w="0" w:type="dxa"/>
            <w:right w:w="108" w:type="dxa"/>
          </w:tblCellMar>
        </w:tblPrEx>
        <w:trPr>
          <w:trHeight w:val="345" w:hRule="atLeast"/>
        </w:trPr>
        <w:tc>
          <w:tcPr>
            <w:tcW w:w="3879"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609"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27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35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27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210</w:t>
            </w:r>
          </w:p>
        </w:tc>
        <w:tc>
          <w:tcPr>
            <w:tcW w:w="48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p>
        </w:tc>
        <w:tc>
          <w:tcPr>
            <w:tcW w:w="227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卫生健康支出</w:t>
            </w:r>
          </w:p>
        </w:tc>
        <w:tc>
          <w:tcPr>
            <w:tcW w:w="1855"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lang w:bidi="ar"/>
              </w:rPr>
              <w:t xml:space="preserve">2,410.51 </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lang w:bidi="ar"/>
              </w:rPr>
              <w:t xml:space="preserve">1,606.47 </w:t>
            </w:r>
          </w:p>
        </w:tc>
        <w:tc>
          <w:tcPr>
            <w:tcW w:w="1904"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lang w:bidi="ar"/>
              </w:rPr>
              <w:t xml:space="preserve">804.04 </w:t>
            </w: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210</w:t>
            </w:r>
          </w:p>
        </w:tc>
        <w:tc>
          <w:tcPr>
            <w:tcW w:w="48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04</w:t>
            </w:r>
          </w:p>
        </w:tc>
        <w:tc>
          <w:tcPr>
            <w:tcW w:w="57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p>
        </w:tc>
        <w:tc>
          <w:tcPr>
            <w:tcW w:w="2270" w:type="dxa"/>
            <w:tcBorders>
              <w:top w:val="single" w:color="auto" w:sz="4" w:space="0"/>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公共卫生</w:t>
            </w:r>
          </w:p>
        </w:tc>
        <w:tc>
          <w:tcPr>
            <w:tcW w:w="1855"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lang w:bidi="ar"/>
              </w:rPr>
              <w:t xml:space="preserve">2,410.51 </w:t>
            </w:r>
          </w:p>
        </w:tc>
        <w:tc>
          <w:tcPr>
            <w:tcW w:w="1856"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lang w:bidi="ar"/>
              </w:rPr>
              <w:t xml:space="preserve">1,606.47 </w:t>
            </w:r>
          </w:p>
        </w:tc>
        <w:tc>
          <w:tcPr>
            <w:tcW w:w="1904" w:type="dxa"/>
            <w:tcBorders>
              <w:top w:val="single" w:color="auto" w:sz="4" w:space="0"/>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lang w:bidi="ar"/>
              </w:rPr>
              <w:t xml:space="preserve">804.04 </w:t>
            </w: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210</w:t>
            </w:r>
          </w:p>
        </w:tc>
        <w:tc>
          <w:tcPr>
            <w:tcW w:w="48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04</w:t>
            </w:r>
          </w:p>
        </w:tc>
        <w:tc>
          <w:tcPr>
            <w:tcW w:w="57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03</w:t>
            </w:r>
          </w:p>
        </w:tc>
        <w:tc>
          <w:tcPr>
            <w:tcW w:w="227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22"/>
                <w:szCs w:val="22"/>
              </w:rPr>
            </w:pPr>
            <w:r>
              <w:rPr>
                <w:rFonts w:hint="eastAsia" w:ascii="宋体" w:hAnsi="宋体" w:cs="宋体"/>
                <w:color w:val="000000"/>
                <w:kern w:val="0"/>
                <w:sz w:val="18"/>
                <w:szCs w:val="18"/>
                <w:lang w:bidi="ar"/>
              </w:rPr>
              <w:t>妇幼保健机构</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lang w:bidi="ar"/>
              </w:rPr>
              <w:t xml:space="preserve">1,606.47 </w:t>
            </w:r>
          </w:p>
        </w:tc>
        <w:tc>
          <w:tcPr>
            <w:tcW w:w="18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lang w:bidi="ar"/>
              </w:rPr>
              <w:t xml:space="preserve">1,606.47 </w:t>
            </w:r>
          </w:p>
        </w:tc>
        <w:tc>
          <w:tcPr>
            <w:tcW w:w="1904"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210</w:t>
            </w:r>
          </w:p>
        </w:tc>
        <w:tc>
          <w:tcPr>
            <w:tcW w:w="48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04</w:t>
            </w:r>
          </w:p>
        </w:tc>
        <w:tc>
          <w:tcPr>
            <w:tcW w:w="57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08</w:t>
            </w:r>
          </w:p>
        </w:tc>
        <w:tc>
          <w:tcPr>
            <w:tcW w:w="227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22"/>
                <w:szCs w:val="22"/>
              </w:rPr>
            </w:pPr>
            <w:r>
              <w:rPr>
                <w:rFonts w:hint="eastAsia" w:ascii="宋体" w:hAnsi="宋体" w:cs="宋体"/>
                <w:color w:val="000000"/>
                <w:kern w:val="0"/>
                <w:sz w:val="18"/>
                <w:szCs w:val="18"/>
                <w:lang w:bidi="ar"/>
              </w:rPr>
              <w:t>基本公共卫生服务</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lang w:bidi="ar"/>
              </w:rPr>
              <w:t xml:space="preserve">54.54 </w:t>
            </w:r>
          </w:p>
        </w:tc>
        <w:tc>
          <w:tcPr>
            <w:tcW w:w="1856"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lang w:bidi="ar"/>
              </w:rPr>
              <w:t xml:space="preserve">54.54 </w:t>
            </w: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210</w:t>
            </w:r>
          </w:p>
        </w:tc>
        <w:tc>
          <w:tcPr>
            <w:tcW w:w="48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04</w:t>
            </w:r>
          </w:p>
        </w:tc>
        <w:tc>
          <w:tcPr>
            <w:tcW w:w="57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99</w:t>
            </w:r>
          </w:p>
        </w:tc>
        <w:tc>
          <w:tcPr>
            <w:tcW w:w="227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22"/>
                <w:szCs w:val="22"/>
              </w:rPr>
            </w:pPr>
            <w:r>
              <w:rPr>
                <w:rFonts w:hint="eastAsia" w:ascii="宋体" w:hAnsi="宋体" w:cs="宋体"/>
                <w:color w:val="000000"/>
                <w:kern w:val="0"/>
                <w:sz w:val="18"/>
                <w:szCs w:val="18"/>
                <w:lang w:bidi="ar"/>
              </w:rPr>
              <w:t>其他公共卫生支出</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lang w:bidi="ar"/>
              </w:rPr>
              <w:t xml:space="preserve">379.00 </w:t>
            </w:r>
          </w:p>
        </w:tc>
        <w:tc>
          <w:tcPr>
            <w:tcW w:w="1856"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lang w:bidi="ar"/>
              </w:rPr>
              <w:t xml:space="preserve">379.00 </w:t>
            </w: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210</w:t>
            </w:r>
          </w:p>
        </w:tc>
        <w:tc>
          <w:tcPr>
            <w:tcW w:w="48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04</w:t>
            </w:r>
          </w:p>
        </w:tc>
        <w:tc>
          <w:tcPr>
            <w:tcW w:w="57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16"/>
                <w:szCs w:val="16"/>
              </w:rPr>
            </w:pPr>
            <w:r>
              <w:rPr>
                <w:rFonts w:hint="eastAsia" w:ascii="宋体" w:hAnsi="宋体" w:cs="宋体"/>
                <w:color w:val="000000"/>
                <w:kern w:val="0"/>
                <w:sz w:val="18"/>
                <w:szCs w:val="18"/>
                <w:lang w:bidi="ar"/>
              </w:rPr>
              <w:t>09</w:t>
            </w:r>
          </w:p>
        </w:tc>
        <w:tc>
          <w:tcPr>
            <w:tcW w:w="227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b/>
                <w:bCs/>
                <w:color w:val="000000"/>
                <w:kern w:val="0"/>
                <w:sz w:val="22"/>
                <w:szCs w:val="22"/>
              </w:rPr>
            </w:pPr>
            <w:r>
              <w:rPr>
                <w:rFonts w:hint="eastAsia" w:ascii="宋体" w:hAnsi="宋体" w:cs="宋体"/>
                <w:color w:val="000000"/>
                <w:kern w:val="0"/>
                <w:sz w:val="18"/>
                <w:szCs w:val="18"/>
                <w:lang w:bidi="ar"/>
              </w:rPr>
              <w:t>重大公共卫生服务</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lang w:bidi="ar"/>
              </w:rPr>
              <w:t xml:space="preserve">370.50 </w:t>
            </w:r>
          </w:p>
        </w:tc>
        <w:tc>
          <w:tcPr>
            <w:tcW w:w="1856" w:type="dxa"/>
            <w:tcBorders>
              <w:top w:val="nil"/>
              <w:left w:val="nil"/>
              <w:bottom w:val="single" w:color="auto" w:sz="4" w:space="0"/>
              <w:right w:val="single" w:color="auto" w:sz="4" w:space="0"/>
            </w:tcBorders>
            <w:vAlign w:val="center"/>
          </w:tcPr>
          <w:p>
            <w:pPr>
              <w:jc w:val="right"/>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b/>
                <w:bCs/>
                <w:color w:val="000000"/>
                <w:kern w:val="0"/>
                <w:sz w:val="22"/>
                <w:szCs w:val="22"/>
              </w:rPr>
            </w:pPr>
            <w:r>
              <w:rPr>
                <w:rFonts w:hint="eastAsia" w:ascii="宋体" w:hAnsi="宋体" w:cs="宋体"/>
                <w:color w:val="000000"/>
                <w:kern w:val="0"/>
                <w:sz w:val="20"/>
                <w:szCs w:val="20"/>
                <w:lang w:bidi="ar"/>
              </w:rPr>
              <w:t xml:space="preserve">370.50 </w:t>
            </w: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5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579" w:hRule="atLeast"/>
        </w:trPr>
        <w:tc>
          <w:tcPr>
            <w:tcW w:w="55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8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57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27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lang w:bidi="ar"/>
              </w:rPr>
              <w:t xml:space="preserve">2,410.51 </w:t>
            </w:r>
          </w:p>
        </w:tc>
        <w:tc>
          <w:tcPr>
            <w:tcW w:w="1856"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lang w:bidi="ar"/>
              </w:rPr>
              <w:t xml:space="preserve">1,606.47 </w:t>
            </w:r>
          </w:p>
        </w:tc>
        <w:tc>
          <w:tcPr>
            <w:tcW w:w="190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lang w:bidi="ar"/>
              </w:rPr>
              <w:t xml:space="preserve">804.04 </w:t>
            </w:r>
          </w:p>
        </w:tc>
      </w:tr>
    </w:tbl>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编制部门（单位）：克州妇幼保健计划生育服务中心                 单位：万元</w:t>
      </w:r>
    </w:p>
    <w:tbl>
      <w:tblPr>
        <w:tblStyle w:val="7"/>
        <w:tblpPr w:leftFromText="180" w:rightFromText="180" w:vertAnchor="text" w:tblpY="1"/>
        <w:tblOverlap w:val="never"/>
        <w:tblW w:w="9449" w:type="dxa"/>
        <w:tblInd w:w="0" w:type="dxa"/>
        <w:tblLayout w:type="fixed"/>
        <w:tblCellMar>
          <w:top w:w="0" w:type="dxa"/>
          <w:left w:w="108" w:type="dxa"/>
          <w:bottom w:w="0" w:type="dxa"/>
          <w:right w:w="108" w:type="dxa"/>
        </w:tblCellMar>
      </w:tblPr>
      <w:tblGrid>
        <w:gridCol w:w="1795"/>
        <w:gridCol w:w="1055"/>
        <w:gridCol w:w="2580"/>
        <w:gridCol w:w="1068"/>
        <w:gridCol w:w="1095"/>
        <w:gridCol w:w="840"/>
        <w:gridCol w:w="101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5583"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c>
          <w:tcPr>
            <w:tcW w:w="1016"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465" w:hRule="atLeas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5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06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109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84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016"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国有</w:t>
            </w:r>
            <w:r>
              <w:rPr>
                <w:rFonts w:ascii="仿宋_GB2312" w:hAnsi="宋体" w:eastAsia="仿宋_GB2312" w:cs="宋体"/>
                <w:b/>
                <w:kern w:val="0"/>
                <w:sz w:val="20"/>
                <w:szCs w:val="20"/>
              </w:rPr>
              <w:t>资本经营预算</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5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kern w:val="0"/>
                <w:sz w:val="22"/>
                <w:szCs w:val="22"/>
              </w:rPr>
            </w:pPr>
            <w:r>
              <w:rPr>
                <w:rFonts w:hint="eastAsia" w:ascii="宋体" w:hAnsi="宋体" w:cs="宋体"/>
                <w:color w:val="000000"/>
                <w:kern w:val="0"/>
                <w:sz w:val="20"/>
                <w:szCs w:val="20"/>
                <w:lang w:bidi="ar"/>
              </w:rPr>
              <w:t xml:space="preserve">1,703.47 </w:t>
            </w:r>
          </w:p>
        </w:tc>
        <w:tc>
          <w:tcPr>
            <w:tcW w:w="258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068"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5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kern w:val="0"/>
                <w:sz w:val="22"/>
                <w:szCs w:val="22"/>
              </w:rPr>
            </w:pPr>
            <w:r>
              <w:rPr>
                <w:rFonts w:hint="eastAsia" w:ascii="宋体" w:hAnsi="宋体" w:cs="宋体"/>
                <w:color w:val="000000"/>
                <w:kern w:val="0"/>
                <w:sz w:val="20"/>
                <w:szCs w:val="20"/>
                <w:lang w:bidi="ar"/>
              </w:rPr>
              <w:t xml:space="preserve">1,703.47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55"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w:t>
            </w:r>
            <w:r>
              <w:rPr>
                <w:rFonts w:ascii="仿宋_GB2312" w:hAnsi="宋体" w:eastAsia="仿宋_GB2312" w:cs="宋体"/>
                <w:kern w:val="0"/>
                <w:sz w:val="18"/>
                <w:szCs w:val="18"/>
              </w:rPr>
              <w:t>经营预算</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医疗卫生</w:t>
            </w:r>
            <w:r>
              <w:rPr>
                <w:rFonts w:ascii="仿宋_GB2312" w:hAnsi="宋体" w:eastAsia="仿宋_GB2312" w:cs="宋体"/>
                <w:kern w:val="0"/>
                <w:sz w:val="18"/>
                <w:szCs w:val="18"/>
              </w:rPr>
              <w:t>与计划生育支出</w:t>
            </w:r>
          </w:p>
        </w:tc>
        <w:tc>
          <w:tcPr>
            <w:tcW w:w="10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1,703.47 </w:t>
            </w:r>
          </w:p>
        </w:tc>
        <w:tc>
          <w:tcPr>
            <w:tcW w:w="109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1,703.47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55"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1068"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9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79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55"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color w:val="000000"/>
                <w:kern w:val="0"/>
                <w:sz w:val="22"/>
                <w:szCs w:val="22"/>
              </w:rPr>
            </w:pPr>
            <w:r>
              <w:rPr>
                <w:rFonts w:hint="eastAsia" w:ascii="宋体" w:hAnsi="宋体" w:cs="宋体"/>
                <w:color w:val="000000"/>
                <w:kern w:val="0"/>
                <w:sz w:val="20"/>
                <w:szCs w:val="20"/>
                <w:lang w:bidi="ar"/>
              </w:rPr>
              <w:t xml:space="preserve">1,703.47 </w:t>
            </w:r>
          </w:p>
        </w:tc>
        <w:tc>
          <w:tcPr>
            <w:tcW w:w="258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068"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1,703.47 </w:t>
            </w:r>
          </w:p>
        </w:tc>
        <w:tc>
          <w:tcPr>
            <w:tcW w:w="1095"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kern w:val="0"/>
                <w:sz w:val="18"/>
                <w:szCs w:val="18"/>
              </w:rPr>
            </w:pPr>
            <w:r>
              <w:rPr>
                <w:rFonts w:hint="eastAsia" w:ascii="宋体" w:hAnsi="宋体" w:cs="宋体"/>
                <w:color w:val="000000"/>
                <w:kern w:val="0"/>
                <w:sz w:val="20"/>
                <w:szCs w:val="20"/>
                <w:lang w:bidi="ar"/>
              </w:rPr>
              <w:t xml:space="preserve">1,703.47 </w:t>
            </w:r>
          </w:p>
        </w:tc>
        <w:tc>
          <w:tcPr>
            <w:tcW w:w="84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16"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1684"/>
        <w:gridCol w:w="1842"/>
        <w:gridCol w:w="1701"/>
      </w:tblGrid>
      <w:tr>
        <w:tblPrEx>
          <w:tblCellMar>
            <w:top w:w="0" w:type="dxa"/>
            <w:left w:w="108" w:type="dxa"/>
            <w:bottom w:w="0" w:type="dxa"/>
            <w:right w:w="108" w:type="dxa"/>
          </w:tblCellMar>
        </w:tblPrEx>
        <w:trPr>
          <w:trHeight w:val="450" w:hRule="atLeast"/>
        </w:trPr>
        <w:tc>
          <w:tcPr>
            <w:tcW w:w="9214" w:type="dxa"/>
            <w:gridSpan w:val="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p>
            <w:pPr>
              <w:widowControl/>
              <w:outlineLvl w:val="1"/>
              <w:rPr>
                <w:rFonts w:ascii="仿宋_GB2312" w:hAnsi="宋体" w:eastAsia="仿宋_GB2312" w:cs="宋体"/>
                <w:b/>
                <w:bCs/>
                <w:color w:val="000000"/>
                <w:kern w:val="0"/>
                <w:sz w:val="32"/>
                <w:szCs w:val="32"/>
              </w:rPr>
            </w:pPr>
            <w:r>
              <w:rPr>
                <w:rFonts w:hint="eastAsia" w:ascii="仿宋_GB2312" w:hAnsi="宋体" w:eastAsia="仿宋_GB2312"/>
                <w:kern w:val="0"/>
                <w:sz w:val="24"/>
              </w:rPr>
              <w:t>编制部门（单位）：克州妇幼保健计划生育服务中心                 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lang w:bidi="ar"/>
              </w:rPr>
              <w:t>210</w:t>
            </w:r>
          </w:p>
        </w:tc>
        <w:tc>
          <w:tcPr>
            <w:tcW w:w="492"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lang w:bidi="ar"/>
              </w:rPr>
              <w:t>卫生健康支出</w:t>
            </w:r>
          </w:p>
        </w:tc>
        <w:tc>
          <w:tcPr>
            <w:tcW w:w="1684"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lang w:bidi="ar"/>
              </w:rPr>
              <w:t xml:space="preserve">1,703.47 </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lang w:bidi="ar"/>
              </w:rPr>
              <w:t xml:space="preserve">1,606.47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lang w:bidi="ar"/>
              </w:rPr>
              <w:t xml:space="preserve">97.00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210</w:t>
            </w:r>
          </w:p>
        </w:tc>
        <w:tc>
          <w:tcPr>
            <w:tcW w:w="492"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04</w:t>
            </w:r>
          </w:p>
        </w:tc>
        <w:tc>
          <w:tcPr>
            <w:tcW w:w="41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公共卫生</w:t>
            </w:r>
          </w:p>
        </w:tc>
        <w:tc>
          <w:tcPr>
            <w:tcW w:w="168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1,703.47 </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1,606.47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97.00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lang w:bidi="ar"/>
              </w:rPr>
              <w:t>210</w:t>
            </w:r>
          </w:p>
        </w:tc>
        <w:tc>
          <w:tcPr>
            <w:tcW w:w="492"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lang w:bidi="ar"/>
              </w:rPr>
              <w:t>04</w:t>
            </w:r>
          </w:p>
        </w:tc>
        <w:tc>
          <w:tcPr>
            <w:tcW w:w="417"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lang w:bidi="ar"/>
              </w:rPr>
              <w:t>03</w:t>
            </w:r>
          </w:p>
        </w:tc>
        <w:tc>
          <w:tcPr>
            <w:tcW w:w="2510"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lang w:bidi="ar"/>
              </w:rPr>
              <w:t>妇幼保健机构</w:t>
            </w:r>
          </w:p>
        </w:tc>
        <w:tc>
          <w:tcPr>
            <w:tcW w:w="1684"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lang w:bidi="ar"/>
              </w:rPr>
              <w:t xml:space="preserve">1,606.47 </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lang w:bidi="ar"/>
              </w:rPr>
              <w:t xml:space="preserve">1,606.47 </w:t>
            </w:r>
          </w:p>
        </w:tc>
        <w:tc>
          <w:tcPr>
            <w:tcW w:w="1701" w:type="dxa"/>
            <w:tcBorders>
              <w:top w:val="nil"/>
              <w:left w:val="nil"/>
              <w:bottom w:val="single" w:color="auto" w:sz="4" w:space="0"/>
              <w:right w:val="single" w:color="auto" w:sz="4" w:space="0"/>
            </w:tcBorders>
            <w:vAlign w:val="center"/>
          </w:tcPr>
          <w:p>
            <w:pPr>
              <w:jc w:val="right"/>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210</w:t>
            </w:r>
          </w:p>
        </w:tc>
        <w:tc>
          <w:tcPr>
            <w:tcW w:w="492"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04</w:t>
            </w:r>
          </w:p>
        </w:tc>
        <w:tc>
          <w:tcPr>
            <w:tcW w:w="417"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99</w:t>
            </w:r>
          </w:p>
        </w:tc>
        <w:tc>
          <w:tcPr>
            <w:tcW w:w="2510"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其他公共卫生支出</w:t>
            </w:r>
          </w:p>
        </w:tc>
        <w:tc>
          <w:tcPr>
            <w:tcW w:w="168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97.00 </w:t>
            </w:r>
          </w:p>
        </w:tc>
        <w:tc>
          <w:tcPr>
            <w:tcW w:w="1842"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97.00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1,703.47 </w:t>
            </w:r>
          </w:p>
        </w:tc>
        <w:tc>
          <w:tcPr>
            <w:tcW w:w="184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1,606.47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97.00 </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1701"/>
        <w:gridCol w:w="1701"/>
        <w:gridCol w:w="1701"/>
      </w:tblGrid>
      <w:tr>
        <w:tblPrEx>
          <w:tblCellMar>
            <w:top w:w="0" w:type="dxa"/>
            <w:left w:w="108" w:type="dxa"/>
            <w:bottom w:w="0" w:type="dxa"/>
            <w:right w:w="108" w:type="dxa"/>
          </w:tblCellMar>
        </w:tblPrEx>
        <w:trPr>
          <w:trHeight w:val="375" w:hRule="atLeast"/>
        </w:trPr>
        <w:tc>
          <w:tcPr>
            <w:tcW w:w="9328" w:type="dxa"/>
            <w:gridSpan w:val="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p>
            <w:pPr>
              <w:widowControl/>
              <w:outlineLvl w:val="1"/>
              <w:rPr>
                <w:rFonts w:ascii="仿宋_GB2312" w:hAnsi="宋体" w:eastAsia="仿宋_GB2312" w:cs="宋体"/>
                <w:b/>
                <w:bCs/>
                <w:color w:val="000000"/>
                <w:kern w:val="0"/>
                <w:sz w:val="32"/>
                <w:szCs w:val="32"/>
              </w:rPr>
            </w:pPr>
            <w:r>
              <w:rPr>
                <w:rFonts w:hint="eastAsia" w:ascii="仿宋_GB2312" w:hAnsi="宋体" w:eastAsia="仿宋_GB2312"/>
                <w:kern w:val="0"/>
                <w:sz w:val="24"/>
              </w:rPr>
              <w:t>编制部门（单位）：克州妇幼保健计划生育服务中心                 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01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基本工资</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488.48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488.48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02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lang w:bidi="ar"/>
              </w:rPr>
              <w:t>津贴补贴</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563.77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563.77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28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03</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奖金</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46.67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46.67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2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08</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机关事业单位基本养老保险缴费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156.04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156.04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5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其他社会保障缴费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77.99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77.99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301</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13</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住房公积金</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112.14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112.14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07</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邮电费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4.60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4.60 </w:t>
            </w:r>
          </w:p>
        </w:tc>
      </w:tr>
      <w:tr>
        <w:tblPrEx>
          <w:tblCellMar>
            <w:top w:w="0" w:type="dxa"/>
            <w:left w:w="108" w:type="dxa"/>
            <w:bottom w:w="0" w:type="dxa"/>
            <w:right w:w="108" w:type="dxa"/>
          </w:tblCellMar>
        </w:tblPrEx>
        <w:trPr>
          <w:trHeight w:val="334"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29</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福利费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12.31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12.31 </w:t>
            </w:r>
          </w:p>
        </w:tc>
      </w:tr>
      <w:tr>
        <w:tblPrEx>
          <w:tblCellMar>
            <w:top w:w="0" w:type="dxa"/>
            <w:left w:w="108" w:type="dxa"/>
            <w:bottom w:w="0" w:type="dxa"/>
            <w:right w:w="108" w:type="dxa"/>
          </w:tblCellMar>
        </w:tblPrEx>
        <w:trPr>
          <w:trHeight w:val="394"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05</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水费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0.50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08</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取暖费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22.32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22.32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17</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公务接待费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2.00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13</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维修(护)费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2.50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2.50 </w:t>
            </w:r>
          </w:p>
        </w:tc>
      </w:tr>
      <w:tr>
        <w:tblPrEx>
          <w:tblCellMar>
            <w:top w:w="0" w:type="dxa"/>
            <w:left w:w="108" w:type="dxa"/>
            <w:bottom w:w="0" w:type="dxa"/>
            <w:right w:w="108" w:type="dxa"/>
          </w:tblCellMar>
        </w:tblPrEx>
        <w:trPr>
          <w:trHeight w:val="32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28</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工会经费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6.84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6.84 </w:t>
            </w:r>
          </w:p>
        </w:tc>
      </w:tr>
      <w:tr>
        <w:tblPrEx>
          <w:tblCellMar>
            <w:top w:w="0" w:type="dxa"/>
            <w:left w:w="108" w:type="dxa"/>
            <w:bottom w:w="0" w:type="dxa"/>
            <w:right w:w="108" w:type="dxa"/>
          </w:tblCellMar>
        </w:tblPrEx>
        <w:trPr>
          <w:trHeight w:val="32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公务用车运行维护费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5.00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5.00 </w:t>
            </w:r>
          </w:p>
        </w:tc>
      </w:tr>
      <w:tr>
        <w:tblPrEx>
          <w:tblCellMar>
            <w:top w:w="0" w:type="dxa"/>
            <w:left w:w="108" w:type="dxa"/>
            <w:bottom w:w="0" w:type="dxa"/>
            <w:right w:w="108" w:type="dxa"/>
          </w:tblCellMar>
        </w:tblPrEx>
        <w:trPr>
          <w:trHeight w:val="32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印刷费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4.18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4.18 </w:t>
            </w:r>
          </w:p>
        </w:tc>
      </w:tr>
      <w:tr>
        <w:tblPrEx>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办公费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9.00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9.00 </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06</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电费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1.00 </w:t>
            </w:r>
          </w:p>
        </w:tc>
      </w:tr>
      <w:tr>
        <w:tblPrEx>
          <w:tblCellMar>
            <w:top w:w="0" w:type="dxa"/>
            <w:left w:w="108" w:type="dxa"/>
            <w:bottom w:w="0" w:type="dxa"/>
            <w:right w:w="108" w:type="dxa"/>
          </w:tblCellMar>
        </w:tblPrEx>
        <w:trPr>
          <w:trHeight w:val="37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302</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11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差旅费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2.00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2.00 </w:t>
            </w:r>
          </w:p>
        </w:tc>
      </w:tr>
      <w:tr>
        <w:tblPrEx>
          <w:tblCellMar>
            <w:top w:w="0" w:type="dxa"/>
            <w:left w:w="108" w:type="dxa"/>
            <w:bottom w:w="0" w:type="dxa"/>
            <w:right w:w="108" w:type="dxa"/>
          </w:tblCellMar>
        </w:tblPrEx>
        <w:trPr>
          <w:trHeight w:val="35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05</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生活补助</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1.33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1.33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99</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其他对个人和家庭的补助</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37.60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37.60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357"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04</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抚恤金</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5.70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5.70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09</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奖励金</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4.10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4.10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01</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离休费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13.19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13.19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303</w:t>
            </w:r>
          </w:p>
        </w:tc>
        <w:tc>
          <w:tcPr>
            <w:tcW w:w="577" w:type="dxa"/>
            <w:tcBorders>
              <w:top w:val="nil"/>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02</w:t>
            </w:r>
          </w:p>
        </w:tc>
        <w:tc>
          <w:tcPr>
            <w:tcW w:w="2891" w:type="dxa"/>
            <w:tcBorders>
              <w:top w:val="nil"/>
              <w:left w:val="nil"/>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退休费</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27.22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27.22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1,606.47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1,534.22 </w:t>
            </w:r>
          </w:p>
        </w:tc>
        <w:tc>
          <w:tcPr>
            <w:tcW w:w="1701"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lang w:bidi="ar"/>
              </w:rPr>
              <w:t xml:space="preserve">72.25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566"/>
        <w:gridCol w:w="480"/>
        <w:gridCol w:w="510"/>
        <w:gridCol w:w="1050"/>
        <w:gridCol w:w="975"/>
        <w:gridCol w:w="765"/>
        <w:gridCol w:w="463"/>
        <w:gridCol w:w="781"/>
        <w:gridCol w:w="407"/>
        <w:gridCol w:w="652"/>
        <w:gridCol w:w="578"/>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p>
            <w:pPr>
              <w:widowControl/>
              <w:outlineLvl w:val="1"/>
              <w:rPr>
                <w:rFonts w:ascii="仿宋_GB2312" w:hAnsi="宋体" w:eastAsia="仿宋_GB2312" w:cs="宋体"/>
                <w:b/>
                <w:bCs/>
                <w:color w:val="000000"/>
                <w:kern w:val="0"/>
                <w:sz w:val="32"/>
                <w:szCs w:val="32"/>
              </w:rPr>
            </w:pPr>
            <w:r>
              <w:rPr>
                <w:rFonts w:hint="eastAsia" w:ascii="仿宋_GB2312" w:hAnsi="宋体" w:eastAsia="仿宋_GB2312"/>
                <w:kern w:val="0"/>
                <w:sz w:val="24"/>
              </w:rPr>
              <w:t>编制部门（单位）：克州妇幼保健计划生育服务中心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64"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0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975"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6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63"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81"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07"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74"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80"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510"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050"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97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65"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3"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81"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07"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lang w:bidi="ar"/>
              </w:rPr>
              <w:t>210</w:t>
            </w:r>
          </w:p>
        </w:tc>
        <w:tc>
          <w:tcPr>
            <w:tcW w:w="480" w:type="dxa"/>
            <w:vAlign w:val="center"/>
          </w:tcPr>
          <w:p>
            <w:pPr>
              <w:widowControl/>
              <w:jc w:val="left"/>
              <w:textAlignment w:val="center"/>
              <w:rPr>
                <w:rFonts w:ascii="仿宋_GB2312" w:hAnsi="宋体" w:eastAsia="仿宋_GB2312" w:cs="宋体"/>
                <w:b/>
                <w:color w:val="000000"/>
                <w:kern w:val="0"/>
                <w:sz w:val="20"/>
                <w:szCs w:val="20"/>
              </w:rPr>
            </w:pPr>
          </w:p>
        </w:tc>
        <w:tc>
          <w:tcPr>
            <w:tcW w:w="510" w:type="dxa"/>
            <w:vAlign w:val="center"/>
          </w:tcPr>
          <w:p>
            <w:pPr>
              <w:widowControl/>
              <w:jc w:val="left"/>
              <w:textAlignment w:val="center"/>
              <w:rPr>
                <w:rFonts w:ascii="仿宋_GB2312" w:hAnsi="宋体" w:eastAsia="仿宋_GB2312" w:cs="宋体"/>
                <w:b/>
                <w:color w:val="000000"/>
                <w:kern w:val="0"/>
                <w:sz w:val="20"/>
                <w:szCs w:val="20"/>
              </w:rPr>
            </w:pPr>
          </w:p>
        </w:tc>
        <w:tc>
          <w:tcPr>
            <w:tcW w:w="1050" w:type="dxa"/>
            <w:vAlign w:val="center"/>
          </w:tcPr>
          <w:p>
            <w:pPr>
              <w:widowControl/>
              <w:jc w:val="left"/>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lang w:bidi="ar"/>
              </w:rPr>
              <w:t>卫生健康支出</w:t>
            </w:r>
          </w:p>
        </w:tc>
        <w:tc>
          <w:tcPr>
            <w:tcW w:w="975" w:type="dxa"/>
            <w:vAlign w:val="center"/>
          </w:tcPr>
          <w:p>
            <w:pPr>
              <w:widowControl/>
              <w:jc w:val="left"/>
              <w:textAlignment w:val="center"/>
              <w:rPr>
                <w:rFonts w:ascii="仿宋_GB2312" w:hAnsi="宋体" w:eastAsia="仿宋_GB2312"/>
                <w:kern w:val="0"/>
                <w:sz w:val="32"/>
                <w:szCs w:val="32"/>
              </w:rPr>
            </w:pPr>
          </w:p>
        </w:tc>
        <w:tc>
          <w:tcPr>
            <w:tcW w:w="765" w:type="dxa"/>
            <w:vAlign w:val="center"/>
          </w:tcPr>
          <w:p>
            <w:pPr>
              <w:widowControl/>
              <w:jc w:val="right"/>
              <w:textAlignment w:val="center"/>
              <w:rPr>
                <w:rFonts w:ascii="仿宋_GB2312" w:hAnsi="宋体" w:eastAsia="仿宋_GB2312"/>
                <w:kern w:val="0"/>
                <w:szCs w:val="21"/>
              </w:rPr>
            </w:pPr>
            <w:r>
              <w:rPr>
                <w:rFonts w:hint="eastAsia" w:ascii="宋体" w:hAnsi="宋体" w:cs="宋体"/>
                <w:color w:val="000000"/>
                <w:kern w:val="0"/>
                <w:sz w:val="20"/>
                <w:szCs w:val="20"/>
                <w:lang w:bidi="ar"/>
              </w:rPr>
              <w:t xml:space="preserve">97.00 </w:t>
            </w:r>
          </w:p>
        </w:tc>
        <w:tc>
          <w:tcPr>
            <w:tcW w:w="463" w:type="dxa"/>
            <w:vAlign w:val="center"/>
          </w:tcPr>
          <w:p>
            <w:pPr>
              <w:jc w:val="right"/>
              <w:rPr>
                <w:rFonts w:ascii="仿宋_GB2312" w:hAnsi="宋体" w:eastAsia="仿宋_GB2312"/>
                <w:kern w:val="0"/>
                <w:sz w:val="32"/>
                <w:szCs w:val="32"/>
              </w:rPr>
            </w:pPr>
          </w:p>
        </w:tc>
        <w:tc>
          <w:tcPr>
            <w:tcW w:w="78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97.00 </w:t>
            </w:r>
          </w:p>
        </w:tc>
        <w:tc>
          <w:tcPr>
            <w:tcW w:w="40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210</w:t>
            </w:r>
          </w:p>
        </w:tc>
        <w:tc>
          <w:tcPr>
            <w:tcW w:w="480" w:type="dxa"/>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04</w:t>
            </w:r>
          </w:p>
        </w:tc>
        <w:tc>
          <w:tcPr>
            <w:tcW w:w="510" w:type="dxa"/>
            <w:vAlign w:val="center"/>
          </w:tcPr>
          <w:p>
            <w:pPr>
              <w:widowControl/>
              <w:jc w:val="left"/>
              <w:textAlignment w:val="center"/>
              <w:rPr>
                <w:rFonts w:ascii="宋体" w:hAnsi="宋体" w:cs="宋体"/>
                <w:color w:val="000000"/>
                <w:kern w:val="0"/>
                <w:sz w:val="20"/>
                <w:szCs w:val="20"/>
              </w:rPr>
            </w:pPr>
          </w:p>
        </w:tc>
        <w:tc>
          <w:tcPr>
            <w:tcW w:w="1050" w:type="dxa"/>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lang w:bidi="ar"/>
              </w:rPr>
              <w:t>公共卫生</w:t>
            </w:r>
          </w:p>
        </w:tc>
        <w:tc>
          <w:tcPr>
            <w:tcW w:w="975" w:type="dxa"/>
            <w:vAlign w:val="center"/>
          </w:tcPr>
          <w:p>
            <w:pPr>
              <w:widowControl/>
              <w:jc w:val="left"/>
              <w:textAlignment w:val="center"/>
              <w:rPr>
                <w:rFonts w:ascii="仿宋_GB2312" w:hAnsi="宋体" w:eastAsia="仿宋_GB2312"/>
                <w:kern w:val="0"/>
                <w:sz w:val="32"/>
                <w:szCs w:val="32"/>
              </w:rPr>
            </w:pPr>
          </w:p>
        </w:tc>
        <w:tc>
          <w:tcPr>
            <w:tcW w:w="765" w:type="dxa"/>
            <w:vAlign w:val="center"/>
          </w:tcPr>
          <w:p>
            <w:pPr>
              <w:widowControl/>
              <w:jc w:val="right"/>
              <w:textAlignment w:val="center"/>
              <w:rPr>
                <w:rFonts w:ascii="仿宋_GB2312" w:hAnsi="宋体" w:eastAsia="仿宋_GB2312"/>
                <w:kern w:val="0"/>
                <w:szCs w:val="21"/>
              </w:rPr>
            </w:pPr>
            <w:r>
              <w:rPr>
                <w:rFonts w:hint="eastAsia" w:ascii="宋体" w:hAnsi="宋体" w:cs="宋体"/>
                <w:color w:val="000000"/>
                <w:kern w:val="0"/>
                <w:sz w:val="20"/>
                <w:szCs w:val="20"/>
                <w:lang w:bidi="ar"/>
              </w:rPr>
              <w:t xml:space="preserve">97.00 </w:t>
            </w:r>
          </w:p>
        </w:tc>
        <w:tc>
          <w:tcPr>
            <w:tcW w:w="463" w:type="dxa"/>
            <w:vAlign w:val="center"/>
          </w:tcPr>
          <w:p>
            <w:pPr>
              <w:jc w:val="right"/>
              <w:rPr>
                <w:rFonts w:ascii="仿宋_GB2312" w:hAnsi="宋体" w:eastAsia="仿宋_GB2312"/>
                <w:kern w:val="0"/>
                <w:sz w:val="32"/>
                <w:szCs w:val="32"/>
              </w:rPr>
            </w:pPr>
          </w:p>
        </w:tc>
        <w:tc>
          <w:tcPr>
            <w:tcW w:w="78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97.00 </w:t>
            </w:r>
          </w:p>
        </w:tc>
        <w:tc>
          <w:tcPr>
            <w:tcW w:w="40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210</w:t>
            </w:r>
          </w:p>
        </w:tc>
        <w:tc>
          <w:tcPr>
            <w:tcW w:w="480"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04</w:t>
            </w:r>
          </w:p>
        </w:tc>
        <w:tc>
          <w:tcPr>
            <w:tcW w:w="510"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99</w:t>
            </w:r>
          </w:p>
        </w:tc>
        <w:tc>
          <w:tcPr>
            <w:tcW w:w="1050"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其他公共卫生支出</w:t>
            </w:r>
          </w:p>
        </w:tc>
        <w:tc>
          <w:tcPr>
            <w:tcW w:w="975"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业务收入成本项目</w:t>
            </w:r>
          </w:p>
        </w:tc>
        <w:tc>
          <w:tcPr>
            <w:tcW w:w="765"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63.00 </w:t>
            </w:r>
          </w:p>
        </w:tc>
        <w:tc>
          <w:tcPr>
            <w:tcW w:w="463" w:type="dxa"/>
            <w:vAlign w:val="center"/>
          </w:tcPr>
          <w:p>
            <w:pPr>
              <w:jc w:val="right"/>
              <w:rPr>
                <w:rFonts w:ascii="仿宋_GB2312" w:hAnsi="宋体" w:eastAsia="仿宋_GB2312"/>
                <w:kern w:val="0"/>
                <w:sz w:val="32"/>
                <w:szCs w:val="32"/>
              </w:rPr>
            </w:pPr>
          </w:p>
        </w:tc>
        <w:tc>
          <w:tcPr>
            <w:tcW w:w="78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63.00 </w:t>
            </w:r>
          </w:p>
        </w:tc>
        <w:tc>
          <w:tcPr>
            <w:tcW w:w="40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210</w:t>
            </w:r>
          </w:p>
        </w:tc>
        <w:tc>
          <w:tcPr>
            <w:tcW w:w="480"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04</w:t>
            </w:r>
          </w:p>
        </w:tc>
        <w:tc>
          <w:tcPr>
            <w:tcW w:w="510"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99</w:t>
            </w:r>
          </w:p>
        </w:tc>
        <w:tc>
          <w:tcPr>
            <w:tcW w:w="1050"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其他公共卫生支出</w:t>
            </w:r>
          </w:p>
        </w:tc>
        <w:tc>
          <w:tcPr>
            <w:tcW w:w="975"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联建工作经费</w:t>
            </w:r>
          </w:p>
        </w:tc>
        <w:tc>
          <w:tcPr>
            <w:tcW w:w="765"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14.00 </w:t>
            </w:r>
          </w:p>
        </w:tc>
        <w:tc>
          <w:tcPr>
            <w:tcW w:w="463" w:type="dxa"/>
            <w:vAlign w:val="center"/>
          </w:tcPr>
          <w:p>
            <w:pPr>
              <w:jc w:val="right"/>
              <w:rPr>
                <w:rFonts w:ascii="仿宋_GB2312" w:hAnsi="宋体" w:eastAsia="仿宋_GB2312"/>
                <w:kern w:val="0"/>
                <w:sz w:val="32"/>
                <w:szCs w:val="32"/>
              </w:rPr>
            </w:pPr>
          </w:p>
        </w:tc>
        <w:tc>
          <w:tcPr>
            <w:tcW w:w="78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14.00 </w:t>
            </w:r>
          </w:p>
        </w:tc>
        <w:tc>
          <w:tcPr>
            <w:tcW w:w="40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210</w:t>
            </w:r>
          </w:p>
        </w:tc>
        <w:tc>
          <w:tcPr>
            <w:tcW w:w="480"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04</w:t>
            </w:r>
          </w:p>
        </w:tc>
        <w:tc>
          <w:tcPr>
            <w:tcW w:w="510"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99</w:t>
            </w:r>
          </w:p>
        </w:tc>
        <w:tc>
          <w:tcPr>
            <w:tcW w:w="1050"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其他公共卫生支出</w:t>
            </w:r>
          </w:p>
        </w:tc>
        <w:tc>
          <w:tcPr>
            <w:tcW w:w="975" w:type="dxa"/>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免费婚前检查经费</w:t>
            </w:r>
          </w:p>
        </w:tc>
        <w:tc>
          <w:tcPr>
            <w:tcW w:w="765"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20.00 </w:t>
            </w:r>
          </w:p>
        </w:tc>
        <w:tc>
          <w:tcPr>
            <w:tcW w:w="463" w:type="dxa"/>
            <w:vAlign w:val="center"/>
          </w:tcPr>
          <w:p>
            <w:pPr>
              <w:jc w:val="right"/>
              <w:rPr>
                <w:rFonts w:ascii="仿宋_GB2312" w:hAnsi="宋体" w:eastAsia="仿宋_GB2312"/>
                <w:kern w:val="0"/>
                <w:sz w:val="32"/>
                <w:szCs w:val="32"/>
              </w:rPr>
            </w:pPr>
          </w:p>
        </w:tc>
        <w:tc>
          <w:tcPr>
            <w:tcW w:w="78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20.00 </w:t>
            </w:r>
          </w:p>
        </w:tc>
        <w:tc>
          <w:tcPr>
            <w:tcW w:w="40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tcPr>
          <w:p>
            <w:pPr>
              <w:widowControl/>
              <w:jc w:val="left"/>
              <w:outlineLvl w:val="1"/>
              <w:rPr>
                <w:rFonts w:ascii="仿宋_GB2312" w:hAnsi="宋体" w:eastAsia="仿宋_GB2312"/>
                <w:kern w:val="0"/>
                <w:sz w:val="32"/>
                <w:szCs w:val="32"/>
              </w:rPr>
            </w:pPr>
          </w:p>
        </w:tc>
        <w:tc>
          <w:tcPr>
            <w:tcW w:w="480" w:type="dxa"/>
          </w:tcPr>
          <w:p>
            <w:pPr>
              <w:widowControl/>
              <w:jc w:val="left"/>
              <w:outlineLvl w:val="1"/>
              <w:rPr>
                <w:rFonts w:ascii="仿宋_GB2312" w:hAnsi="宋体" w:eastAsia="仿宋_GB2312"/>
                <w:kern w:val="0"/>
                <w:sz w:val="32"/>
                <w:szCs w:val="32"/>
              </w:rPr>
            </w:pPr>
          </w:p>
        </w:tc>
        <w:tc>
          <w:tcPr>
            <w:tcW w:w="510" w:type="dxa"/>
          </w:tcPr>
          <w:p>
            <w:pPr>
              <w:widowControl/>
              <w:jc w:val="left"/>
              <w:outlineLvl w:val="1"/>
              <w:rPr>
                <w:rFonts w:ascii="仿宋_GB2312" w:hAnsi="宋体" w:eastAsia="仿宋_GB2312"/>
                <w:kern w:val="0"/>
                <w:sz w:val="32"/>
                <w:szCs w:val="32"/>
              </w:rPr>
            </w:pPr>
          </w:p>
        </w:tc>
        <w:tc>
          <w:tcPr>
            <w:tcW w:w="1050" w:type="dxa"/>
          </w:tcPr>
          <w:p>
            <w:pPr>
              <w:widowControl/>
              <w:jc w:val="left"/>
              <w:outlineLvl w:val="1"/>
              <w:rPr>
                <w:rFonts w:ascii="仿宋_GB2312" w:hAnsi="宋体" w:eastAsia="仿宋_GB2312"/>
                <w:kern w:val="0"/>
                <w:sz w:val="32"/>
                <w:szCs w:val="32"/>
              </w:rPr>
            </w:pPr>
          </w:p>
        </w:tc>
        <w:tc>
          <w:tcPr>
            <w:tcW w:w="975" w:type="dxa"/>
          </w:tcPr>
          <w:p>
            <w:pPr>
              <w:widowControl/>
              <w:jc w:val="left"/>
              <w:outlineLvl w:val="1"/>
              <w:rPr>
                <w:rFonts w:ascii="仿宋_GB2312" w:hAnsi="宋体" w:eastAsia="仿宋_GB2312"/>
                <w:kern w:val="0"/>
                <w:sz w:val="32"/>
                <w:szCs w:val="32"/>
              </w:rPr>
            </w:pPr>
          </w:p>
        </w:tc>
        <w:tc>
          <w:tcPr>
            <w:tcW w:w="765" w:type="dxa"/>
          </w:tcPr>
          <w:p>
            <w:pPr>
              <w:widowControl/>
              <w:jc w:val="left"/>
              <w:outlineLvl w:val="1"/>
              <w:rPr>
                <w:rFonts w:ascii="仿宋_GB2312" w:hAnsi="宋体" w:eastAsia="仿宋_GB2312"/>
                <w:kern w:val="0"/>
                <w:sz w:val="32"/>
                <w:szCs w:val="32"/>
              </w:rPr>
            </w:pPr>
          </w:p>
        </w:tc>
        <w:tc>
          <w:tcPr>
            <w:tcW w:w="463" w:type="dxa"/>
          </w:tcPr>
          <w:p>
            <w:pPr>
              <w:widowControl/>
              <w:jc w:val="left"/>
              <w:outlineLvl w:val="1"/>
              <w:rPr>
                <w:rFonts w:ascii="仿宋_GB2312" w:hAnsi="宋体" w:eastAsia="仿宋_GB2312"/>
                <w:kern w:val="0"/>
                <w:sz w:val="32"/>
                <w:szCs w:val="32"/>
              </w:rPr>
            </w:pPr>
          </w:p>
        </w:tc>
        <w:tc>
          <w:tcPr>
            <w:tcW w:w="781" w:type="dxa"/>
          </w:tcPr>
          <w:p>
            <w:pPr>
              <w:widowControl/>
              <w:jc w:val="left"/>
              <w:outlineLvl w:val="1"/>
              <w:rPr>
                <w:rFonts w:ascii="仿宋_GB2312" w:hAnsi="宋体" w:eastAsia="仿宋_GB2312"/>
                <w:kern w:val="0"/>
                <w:sz w:val="32"/>
                <w:szCs w:val="32"/>
              </w:rPr>
            </w:pPr>
          </w:p>
        </w:tc>
        <w:tc>
          <w:tcPr>
            <w:tcW w:w="407"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tcPr>
          <w:p>
            <w:pPr>
              <w:widowControl/>
              <w:jc w:val="left"/>
              <w:outlineLvl w:val="1"/>
              <w:rPr>
                <w:rFonts w:ascii="仿宋_GB2312" w:hAnsi="宋体" w:eastAsia="仿宋_GB2312"/>
                <w:kern w:val="0"/>
                <w:sz w:val="32"/>
                <w:szCs w:val="32"/>
              </w:rPr>
            </w:pPr>
          </w:p>
        </w:tc>
        <w:tc>
          <w:tcPr>
            <w:tcW w:w="480" w:type="dxa"/>
          </w:tcPr>
          <w:p>
            <w:pPr>
              <w:widowControl/>
              <w:jc w:val="left"/>
              <w:outlineLvl w:val="1"/>
              <w:rPr>
                <w:rFonts w:ascii="仿宋_GB2312" w:hAnsi="宋体" w:eastAsia="仿宋_GB2312"/>
                <w:kern w:val="0"/>
                <w:sz w:val="32"/>
                <w:szCs w:val="32"/>
              </w:rPr>
            </w:pPr>
          </w:p>
        </w:tc>
        <w:tc>
          <w:tcPr>
            <w:tcW w:w="510" w:type="dxa"/>
          </w:tcPr>
          <w:p>
            <w:pPr>
              <w:widowControl/>
              <w:jc w:val="left"/>
              <w:outlineLvl w:val="1"/>
              <w:rPr>
                <w:rFonts w:ascii="仿宋_GB2312" w:hAnsi="宋体" w:eastAsia="仿宋_GB2312"/>
                <w:kern w:val="0"/>
                <w:sz w:val="32"/>
                <w:szCs w:val="32"/>
              </w:rPr>
            </w:pPr>
          </w:p>
        </w:tc>
        <w:tc>
          <w:tcPr>
            <w:tcW w:w="1050" w:type="dxa"/>
          </w:tcPr>
          <w:p>
            <w:pPr>
              <w:widowControl/>
              <w:jc w:val="left"/>
              <w:outlineLvl w:val="1"/>
              <w:rPr>
                <w:rFonts w:ascii="仿宋_GB2312" w:hAnsi="宋体" w:eastAsia="仿宋_GB2312"/>
                <w:kern w:val="0"/>
                <w:sz w:val="32"/>
                <w:szCs w:val="32"/>
              </w:rPr>
            </w:pPr>
          </w:p>
        </w:tc>
        <w:tc>
          <w:tcPr>
            <w:tcW w:w="975" w:type="dxa"/>
          </w:tcPr>
          <w:p>
            <w:pPr>
              <w:widowControl/>
              <w:jc w:val="left"/>
              <w:outlineLvl w:val="1"/>
              <w:rPr>
                <w:rFonts w:ascii="仿宋_GB2312" w:hAnsi="宋体" w:eastAsia="仿宋_GB2312"/>
                <w:kern w:val="0"/>
                <w:sz w:val="32"/>
                <w:szCs w:val="32"/>
              </w:rPr>
            </w:pPr>
          </w:p>
        </w:tc>
        <w:tc>
          <w:tcPr>
            <w:tcW w:w="765" w:type="dxa"/>
          </w:tcPr>
          <w:p>
            <w:pPr>
              <w:widowControl/>
              <w:jc w:val="left"/>
              <w:outlineLvl w:val="1"/>
              <w:rPr>
                <w:rFonts w:ascii="仿宋_GB2312" w:hAnsi="宋体" w:eastAsia="仿宋_GB2312"/>
                <w:kern w:val="0"/>
                <w:sz w:val="32"/>
                <w:szCs w:val="32"/>
              </w:rPr>
            </w:pPr>
          </w:p>
        </w:tc>
        <w:tc>
          <w:tcPr>
            <w:tcW w:w="463" w:type="dxa"/>
          </w:tcPr>
          <w:p>
            <w:pPr>
              <w:widowControl/>
              <w:jc w:val="left"/>
              <w:outlineLvl w:val="1"/>
              <w:rPr>
                <w:rFonts w:ascii="仿宋_GB2312" w:hAnsi="宋体" w:eastAsia="仿宋_GB2312"/>
                <w:kern w:val="0"/>
                <w:sz w:val="32"/>
                <w:szCs w:val="32"/>
              </w:rPr>
            </w:pPr>
          </w:p>
        </w:tc>
        <w:tc>
          <w:tcPr>
            <w:tcW w:w="781" w:type="dxa"/>
          </w:tcPr>
          <w:p>
            <w:pPr>
              <w:widowControl/>
              <w:jc w:val="left"/>
              <w:outlineLvl w:val="1"/>
              <w:rPr>
                <w:rFonts w:ascii="仿宋_GB2312" w:hAnsi="宋体" w:eastAsia="仿宋_GB2312"/>
                <w:kern w:val="0"/>
                <w:sz w:val="32"/>
                <w:szCs w:val="32"/>
              </w:rPr>
            </w:pPr>
          </w:p>
        </w:tc>
        <w:tc>
          <w:tcPr>
            <w:tcW w:w="407"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tcPr>
          <w:p>
            <w:pPr>
              <w:widowControl/>
              <w:jc w:val="left"/>
              <w:outlineLvl w:val="1"/>
              <w:rPr>
                <w:rFonts w:ascii="仿宋_GB2312" w:hAnsi="宋体" w:eastAsia="仿宋_GB2312"/>
                <w:kern w:val="0"/>
                <w:sz w:val="32"/>
                <w:szCs w:val="32"/>
              </w:rPr>
            </w:pPr>
          </w:p>
        </w:tc>
        <w:tc>
          <w:tcPr>
            <w:tcW w:w="480" w:type="dxa"/>
          </w:tcPr>
          <w:p>
            <w:pPr>
              <w:widowControl/>
              <w:jc w:val="left"/>
              <w:outlineLvl w:val="1"/>
              <w:rPr>
                <w:rFonts w:ascii="仿宋_GB2312" w:hAnsi="宋体" w:eastAsia="仿宋_GB2312"/>
                <w:kern w:val="0"/>
                <w:sz w:val="32"/>
                <w:szCs w:val="32"/>
              </w:rPr>
            </w:pPr>
          </w:p>
        </w:tc>
        <w:tc>
          <w:tcPr>
            <w:tcW w:w="510" w:type="dxa"/>
          </w:tcPr>
          <w:p>
            <w:pPr>
              <w:widowControl/>
              <w:jc w:val="left"/>
              <w:outlineLvl w:val="1"/>
              <w:rPr>
                <w:rFonts w:ascii="仿宋_GB2312" w:hAnsi="宋体" w:eastAsia="仿宋_GB2312"/>
                <w:kern w:val="0"/>
                <w:sz w:val="32"/>
                <w:szCs w:val="32"/>
              </w:rPr>
            </w:pPr>
          </w:p>
        </w:tc>
        <w:tc>
          <w:tcPr>
            <w:tcW w:w="1050" w:type="dxa"/>
          </w:tcPr>
          <w:p>
            <w:pPr>
              <w:widowControl/>
              <w:jc w:val="left"/>
              <w:outlineLvl w:val="1"/>
              <w:rPr>
                <w:rFonts w:ascii="仿宋_GB2312" w:hAnsi="宋体" w:eastAsia="仿宋_GB2312"/>
                <w:kern w:val="0"/>
                <w:sz w:val="32"/>
                <w:szCs w:val="32"/>
              </w:rPr>
            </w:pPr>
          </w:p>
        </w:tc>
        <w:tc>
          <w:tcPr>
            <w:tcW w:w="975" w:type="dxa"/>
          </w:tcPr>
          <w:p>
            <w:pPr>
              <w:widowControl/>
              <w:jc w:val="left"/>
              <w:outlineLvl w:val="1"/>
              <w:rPr>
                <w:rFonts w:ascii="仿宋_GB2312" w:hAnsi="宋体" w:eastAsia="仿宋_GB2312"/>
                <w:kern w:val="0"/>
                <w:sz w:val="32"/>
                <w:szCs w:val="32"/>
              </w:rPr>
            </w:pPr>
          </w:p>
        </w:tc>
        <w:tc>
          <w:tcPr>
            <w:tcW w:w="765" w:type="dxa"/>
          </w:tcPr>
          <w:p>
            <w:pPr>
              <w:widowControl/>
              <w:jc w:val="left"/>
              <w:outlineLvl w:val="1"/>
              <w:rPr>
                <w:rFonts w:ascii="仿宋_GB2312" w:hAnsi="宋体" w:eastAsia="仿宋_GB2312"/>
                <w:kern w:val="0"/>
                <w:sz w:val="32"/>
                <w:szCs w:val="32"/>
              </w:rPr>
            </w:pPr>
          </w:p>
        </w:tc>
        <w:tc>
          <w:tcPr>
            <w:tcW w:w="463" w:type="dxa"/>
          </w:tcPr>
          <w:p>
            <w:pPr>
              <w:widowControl/>
              <w:jc w:val="left"/>
              <w:outlineLvl w:val="1"/>
              <w:rPr>
                <w:rFonts w:ascii="仿宋_GB2312" w:hAnsi="宋体" w:eastAsia="仿宋_GB2312"/>
                <w:kern w:val="0"/>
                <w:sz w:val="32"/>
                <w:szCs w:val="32"/>
              </w:rPr>
            </w:pPr>
          </w:p>
        </w:tc>
        <w:tc>
          <w:tcPr>
            <w:tcW w:w="781" w:type="dxa"/>
          </w:tcPr>
          <w:p>
            <w:pPr>
              <w:widowControl/>
              <w:jc w:val="left"/>
              <w:outlineLvl w:val="1"/>
              <w:rPr>
                <w:rFonts w:ascii="仿宋_GB2312" w:hAnsi="宋体" w:eastAsia="仿宋_GB2312"/>
                <w:kern w:val="0"/>
                <w:sz w:val="32"/>
                <w:szCs w:val="32"/>
              </w:rPr>
            </w:pPr>
          </w:p>
        </w:tc>
        <w:tc>
          <w:tcPr>
            <w:tcW w:w="407"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tcPr>
          <w:p>
            <w:pPr>
              <w:widowControl/>
              <w:jc w:val="left"/>
              <w:outlineLvl w:val="1"/>
              <w:rPr>
                <w:rFonts w:ascii="仿宋_GB2312" w:hAnsi="宋体" w:eastAsia="仿宋_GB2312"/>
                <w:kern w:val="0"/>
                <w:sz w:val="32"/>
                <w:szCs w:val="32"/>
              </w:rPr>
            </w:pPr>
          </w:p>
        </w:tc>
        <w:tc>
          <w:tcPr>
            <w:tcW w:w="480" w:type="dxa"/>
          </w:tcPr>
          <w:p>
            <w:pPr>
              <w:widowControl/>
              <w:jc w:val="left"/>
              <w:outlineLvl w:val="1"/>
              <w:rPr>
                <w:rFonts w:ascii="仿宋_GB2312" w:hAnsi="宋体" w:eastAsia="仿宋_GB2312"/>
                <w:kern w:val="0"/>
                <w:sz w:val="32"/>
                <w:szCs w:val="32"/>
              </w:rPr>
            </w:pPr>
          </w:p>
        </w:tc>
        <w:tc>
          <w:tcPr>
            <w:tcW w:w="510" w:type="dxa"/>
          </w:tcPr>
          <w:p>
            <w:pPr>
              <w:widowControl/>
              <w:jc w:val="left"/>
              <w:outlineLvl w:val="1"/>
              <w:rPr>
                <w:rFonts w:ascii="仿宋_GB2312" w:hAnsi="宋体" w:eastAsia="仿宋_GB2312"/>
                <w:kern w:val="0"/>
                <w:sz w:val="32"/>
                <w:szCs w:val="32"/>
              </w:rPr>
            </w:pPr>
          </w:p>
        </w:tc>
        <w:tc>
          <w:tcPr>
            <w:tcW w:w="1050" w:type="dxa"/>
          </w:tcPr>
          <w:p>
            <w:pPr>
              <w:widowControl/>
              <w:jc w:val="left"/>
              <w:outlineLvl w:val="1"/>
              <w:rPr>
                <w:rFonts w:ascii="仿宋_GB2312" w:hAnsi="宋体" w:eastAsia="仿宋_GB2312"/>
                <w:kern w:val="0"/>
                <w:sz w:val="32"/>
                <w:szCs w:val="32"/>
              </w:rPr>
            </w:pPr>
          </w:p>
        </w:tc>
        <w:tc>
          <w:tcPr>
            <w:tcW w:w="975" w:type="dxa"/>
          </w:tcPr>
          <w:p>
            <w:pPr>
              <w:widowControl/>
              <w:jc w:val="left"/>
              <w:outlineLvl w:val="1"/>
              <w:rPr>
                <w:rFonts w:ascii="仿宋_GB2312" w:hAnsi="宋体" w:eastAsia="仿宋_GB2312"/>
                <w:kern w:val="0"/>
                <w:sz w:val="32"/>
                <w:szCs w:val="32"/>
              </w:rPr>
            </w:pPr>
          </w:p>
        </w:tc>
        <w:tc>
          <w:tcPr>
            <w:tcW w:w="765" w:type="dxa"/>
          </w:tcPr>
          <w:p>
            <w:pPr>
              <w:widowControl/>
              <w:jc w:val="left"/>
              <w:outlineLvl w:val="1"/>
              <w:rPr>
                <w:rFonts w:ascii="仿宋_GB2312" w:hAnsi="宋体" w:eastAsia="仿宋_GB2312"/>
                <w:kern w:val="0"/>
                <w:sz w:val="32"/>
                <w:szCs w:val="32"/>
              </w:rPr>
            </w:pPr>
          </w:p>
        </w:tc>
        <w:tc>
          <w:tcPr>
            <w:tcW w:w="463" w:type="dxa"/>
          </w:tcPr>
          <w:p>
            <w:pPr>
              <w:widowControl/>
              <w:jc w:val="left"/>
              <w:outlineLvl w:val="1"/>
              <w:rPr>
                <w:rFonts w:ascii="仿宋_GB2312" w:hAnsi="宋体" w:eastAsia="仿宋_GB2312"/>
                <w:kern w:val="0"/>
                <w:sz w:val="32"/>
                <w:szCs w:val="32"/>
              </w:rPr>
            </w:pPr>
          </w:p>
        </w:tc>
        <w:tc>
          <w:tcPr>
            <w:tcW w:w="781" w:type="dxa"/>
          </w:tcPr>
          <w:p>
            <w:pPr>
              <w:widowControl/>
              <w:jc w:val="left"/>
              <w:outlineLvl w:val="1"/>
              <w:rPr>
                <w:rFonts w:ascii="仿宋_GB2312" w:hAnsi="宋体" w:eastAsia="仿宋_GB2312"/>
                <w:kern w:val="0"/>
                <w:sz w:val="32"/>
                <w:szCs w:val="32"/>
              </w:rPr>
            </w:pPr>
          </w:p>
        </w:tc>
        <w:tc>
          <w:tcPr>
            <w:tcW w:w="407"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tcPr>
          <w:p>
            <w:pPr>
              <w:widowControl/>
              <w:jc w:val="left"/>
              <w:outlineLvl w:val="1"/>
              <w:rPr>
                <w:rFonts w:ascii="仿宋_GB2312" w:hAnsi="宋体" w:eastAsia="仿宋_GB2312"/>
                <w:kern w:val="0"/>
                <w:sz w:val="32"/>
                <w:szCs w:val="32"/>
              </w:rPr>
            </w:pPr>
          </w:p>
        </w:tc>
        <w:tc>
          <w:tcPr>
            <w:tcW w:w="480" w:type="dxa"/>
          </w:tcPr>
          <w:p>
            <w:pPr>
              <w:widowControl/>
              <w:jc w:val="left"/>
              <w:outlineLvl w:val="1"/>
              <w:rPr>
                <w:rFonts w:ascii="仿宋_GB2312" w:hAnsi="宋体" w:eastAsia="仿宋_GB2312"/>
                <w:kern w:val="0"/>
                <w:sz w:val="32"/>
                <w:szCs w:val="32"/>
              </w:rPr>
            </w:pPr>
          </w:p>
        </w:tc>
        <w:tc>
          <w:tcPr>
            <w:tcW w:w="510" w:type="dxa"/>
          </w:tcPr>
          <w:p>
            <w:pPr>
              <w:widowControl/>
              <w:jc w:val="left"/>
              <w:outlineLvl w:val="1"/>
              <w:rPr>
                <w:rFonts w:ascii="仿宋_GB2312" w:hAnsi="宋体" w:eastAsia="仿宋_GB2312"/>
                <w:kern w:val="0"/>
                <w:sz w:val="32"/>
                <w:szCs w:val="32"/>
              </w:rPr>
            </w:pPr>
          </w:p>
        </w:tc>
        <w:tc>
          <w:tcPr>
            <w:tcW w:w="1050" w:type="dxa"/>
          </w:tcPr>
          <w:p>
            <w:pPr>
              <w:widowControl/>
              <w:jc w:val="left"/>
              <w:outlineLvl w:val="1"/>
              <w:rPr>
                <w:rFonts w:ascii="仿宋_GB2312" w:hAnsi="宋体" w:eastAsia="仿宋_GB2312"/>
                <w:kern w:val="0"/>
                <w:sz w:val="32"/>
                <w:szCs w:val="32"/>
              </w:rPr>
            </w:pPr>
          </w:p>
        </w:tc>
        <w:tc>
          <w:tcPr>
            <w:tcW w:w="975" w:type="dxa"/>
          </w:tcPr>
          <w:p>
            <w:pPr>
              <w:widowControl/>
              <w:jc w:val="left"/>
              <w:outlineLvl w:val="1"/>
              <w:rPr>
                <w:rFonts w:ascii="仿宋_GB2312" w:hAnsi="宋体" w:eastAsia="仿宋_GB2312"/>
                <w:kern w:val="0"/>
                <w:sz w:val="32"/>
                <w:szCs w:val="32"/>
              </w:rPr>
            </w:pPr>
          </w:p>
        </w:tc>
        <w:tc>
          <w:tcPr>
            <w:tcW w:w="765" w:type="dxa"/>
          </w:tcPr>
          <w:p>
            <w:pPr>
              <w:widowControl/>
              <w:jc w:val="left"/>
              <w:outlineLvl w:val="1"/>
              <w:rPr>
                <w:rFonts w:ascii="仿宋_GB2312" w:hAnsi="宋体" w:eastAsia="仿宋_GB2312"/>
                <w:kern w:val="0"/>
                <w:sz w:val="32"/>
                <w:szCs w:val="32"/>
              </w:rPr>
            </w:pPr>
          </w:p>
        </w:tc>
        <w:tc>
          <w:tcPr>
            <w:tcW w:w="463" w:type="dxa"/>
          </w:tcPr>
          <w:p>
            <w:pPr>
              <w:widowControl/>
              <w:jc w:val="left"/>
              <w:outlineLvl w:val="1"/>
              <w:rPr>
                <w:rFonts w:ascii="仿宋_GB2312" w:hAnsi="宋体" w:eastAsia="仿宋_GB2312"/>
                <w:kern w:val="0"/>
                <w:sz w:val="32"/>
                <w:szCs w:val="32"/>
              </w:rPr>
            </w:pPr>
          </w:p>
        </w:tc>
        <w:tc>
          <w:tcPr>
            <w:tcW w:w="781" w:type="dxa"/>
          </w:tcPr>
          <w:p>
            <w:pPr>
              <w:widowControl/>
              <w:jc w:val="left"/>
              <w:outlineLvl w:val="1"/>
              <w:rPr>
                <w:rFonts w:ascii="仿宋_GB2312" w:hAnsi="宋体" w:eastAsia="仿宋_GB2312"/>
                <w:kern w:val="0"/>
                <w:sz w:val="32"/>
                <w:szCs w:val="32"/>
              </w:rPr>
            </w:pPr>
          </w:p>
        </w:tc>
        <w:tc>
          <w:tcPr>
            <w:tcW w:w="407"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7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7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7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6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3"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81"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74"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75"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65" w:type="dxa"/>
            <w:vAlign w:val="center"/>
          </w:tcPr>
          <w:p>
            <w:pPr>
              <w:widowControl/>
              <w:jc w:val="right"/>
              <w:textAlignment w:val="center"/>
              <w:rPr>
                <w:rFonts w:ascii="仿宋_GB2312" w:hAnsi="宋体" w:eastAsia="仿宋_GB2312"/>
                <w:kern w:val="0"/>
                <w:szCs w:val="21"/>
              </w:rPr>
            </w:pPr>
            <w:r>
              <w:rPr>
                <w:rFonts w:hint="eastAsia" w:ascii="宋体" w:hAnsi="宋体" w:cs="宋体"/>
                <w:color w:val="000000"/>
                <w:kern w:val="0"/>
                <w:sz w:val="20"/>
                <w:szCs w:val="20"/>
                <w:lang w:bidi="ar"/>
              </w:rPr>
              <w:t xml:space="preserve">97.00 </w:t>
            </w:r>
          </w:p>
        </w:tc>
        <w:tc>
          <w:tcPr>
            <w:tcW w:w="463" w:type="dxa"/>
            <w:vAlign w:val="center"/>
          </w:tcPr>
          <w:p>
            <w:pPr>
              <w:jc w:val="right"/>
              <w:rPr>
                <w:rFonts w:ascii="仿宋_GB2312" w:hAnsi="宋体" w:eastAsia="仿宋_GB2312"/>
                <w:kern w:val="0"/>
                <w:sz w:val="32"/>
                <w:szCs w:val="32"/>
              </w:rPr>
            </w:pPr>
          </w:p>
        </w:tc>
        <w:tc>
          <w:tcPr>
            <w:tcW w:w="781" w:type="dxa"/>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lang w:bidi="ar"/>
              </w:rPr>
              <w:t xml:space="preserve">97.00 </w:t>
            </w:r>
          </w:p>
        </w:tc>
        <w:tc>
          <w:tcPr>
            <w:tcW w:w="407"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r>
        <w:rPr>
          <w:rFonts w:hint="eastAsia" w:ascii="仿宋_GB2312" w:hAnsi="宋体" w:eastAsia="仿宋_GB2312"/>
          <w:kern w:val="0"/>
          <w:sz w:val="24"/>
        </w:rPr>
        <w:t>编制部门（单位）：克州妇幼保健计划生育服务中心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7.00 </w:t>
            </w:r>
          </w:p>
        </w:tc>
        <w:tc>
          <w:tcPr>
            <w:tcW w:w="1417"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5.00 </w:t>
            </w:r>
          </w:p>
        </w:tc>
        <w:tc>
          <w:tcPr>
            <w:tcW w:w="1418" w:type="dxa"/>
            <w:tcBorders>
              <w:top w:val="nil"/>
              <w:left w:val="nil"/>
              <w:bottom w:val="single" w:color="auto" w:sz="4" w:space="0"/>
              <w:right w:val="single" w:color="auto" w:sz="4" w:space="0"/>
            </w:tcBorders>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5.00 </w:t>
            </w:r>
          </w:p>
        </w:tc>
        <w:tc>
          <w:tcPr>
            <w:tcW w:w="1712" w:type="dxa"/>
            <w:tcBorders>
              <w:top w:val="nil"/>
              <w:left w:val="nil"/>
              <w:bottom w:val="single" w:color="auto" w:sz="4" w:space="0"/>
              <w:right w:val="single" w:color="auto" w:sz="4" w:space="0"/>
            </w:tcBorders>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18"/>
                <w:szCs w:val="18"/>
                <w:lang w:bidi="ar"/>
              </w:rPr>
              <w:t xml:space="preserve">2.00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spacing w:line="280" w:lineRule="exact"/>
        <w:jc w:val="left"/>
        <w:outlineLvl w:val="1"/>
        <w:rPr>
          <w:rFonts w:ascii="仿宋_GB2312" w:hAnsi="宋体" w:eastAsia="仿宋_GB2312"/>
          <w:b/>
          <w:kern w:val="0"/>
          <w:sz w:val="32"/>
          <w:szCs w:val="32"/>
        </w:rPr>
      </w:pPr>
    </w:p>
    <w:p>
      <w:pPr>
        <w:widowControl/>
        <w:spacing w:line="280" w:lineRule="exact"/>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spacing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spacing w:line="280" w:lineRule="exact"/>
        <w:jc w:val="center"/>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r>
        <w:rPr>
          <w:rFonts w:hint="eastAsia" w:ascii="仿宋_GB2312" w:hAnsi="宋体" w:eastAsia="仿宋_GB2312"/>
          <w:kern w:val="0"/>
          <w:sz w:val="24"/>
        </w:rPr>
        <w:t>编制部门（单位）：克州妇幼保健计划生育服务中心                 单位：万元</w:t>
      </w:r>
    </w:p>
    <w:p>
      <w:pPr>
        <w:widowControl/>
        <w:spacing w:line="280" w:lineRule="exact"/>
        <w:jc w:val="center"/>
        <w:outlineLvl w:val="1"/>
        <w:rPr>
          <w:rFonts w:ascii="仿宋_GB2312" w:hAnsi="宋体" w:eastAsia="仿宋_GB2312"/>
          <w:b/>
          <w:kern w:val="0"/>
          <w:sz w:val="32"/>
          <w:szCs w:val="32"/>
        </w:rPr>
      </w:pP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spacing w:line="280" w:lineRule="exact"/>
        <w:outlineLvl w:val="1"/>
        <w:rPr>
          <w:rFonts w:ascii="仿宋_GB2312" w:hAnsi="宋体" w:eastAsia="仿宋_GB2312"/>
          <w:b/>
          <w:kern w:val="0"/>
          <w:sz w:val="28"/>
          <w:szCs w:val="32"/>
        </w:rPr>
      </w:pPr>
    </w:p>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cs="宋体"/>
          <w:kern w:val="0"/>
          <w:sz w:val="32"/>
          <w:szCs w:val="32"/>
        </w:rPr>
        <w:t>克州妇幼保健计划生育服务中心2021年没有使用政府性基金预算拨款安排的支出，政府性基金预算支出情况表为空。</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2021年部门预算情况说明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关于克州妇幼保健计划生育服务中心2021年收支预算情况的总体说明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按照全口径预算的原则，克州妇幼保健计划生育服务中心部门2021年所有收入和支出均纳入部门预算管理。收支总预算2410.51万元。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收入预算包括：一般公共预算1703.47万元、上级补助收入260万元、上级专项收入32万元，单位上年结余（不包含国库集中支付额度结余）415.04万元。</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支出预算包括：卫生健康支出2410.51万元。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二、关于克州妇幼保健计划生育服务中心2021年收入预算情况说明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克州妇幼保健计划生育服务中心部门收入预算 2410.51 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一般公共预算1703.47万元，占 70.67 %，比上年预算增加28.63万元，主要原因是：在职及退休人员社会保障缴费及在职工人员住房公积金缴费增加；人员比2020年预算时增加2人；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国有资本</w:t>
      </w:r>
      <w:r>
        <w:rPr>
          <w:rFonts w:ascii="仿宋_GB2312" w:hAnsi="宋体" w:eastAsia="仿宋_GB2312" w:cs="宋体"/>
          <w:kern w:val="0"/>
          <w:sz w:val="32"/>
          <w:szCs w:val="32"/>
        </w:rPr>
        <w:t>经营预算</w:t>
      </w:r>
      <w:r>
        <w:rPr>
          <w:rFonts w:hint="eastAsia" w:ascii="仿宋_GB2312" w:hAnsi="宋体" w:eastAsia="仿宋_GB2312" w:cs="宋体"/>
          <w:kern w:val="0"/>
          <w:sz w:val="32"/>
          <w:szCs w:val="32"/>
        </w:rPr>
        <w:t>未安排。</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三、关于克州妇幼保健计划生育服务中心2021年支出预算情况说明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克州妇幼保健计划生育服务中心部门2021年支出预算    2410.51万元，其中：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 1606.47 万元，占 66.64 %，比上年预算减少 68.37 万元，主要原因是：联建和为民办实事工作经费减少了24万元，节约开支。</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 804.04 万元，占 34.36 %，比上年预算增加 755.04 万元，主要原因是：基本公共卫生、重大公共卫生和其他公共卫生本年增加了。</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四、关于克州妇幼保健计划生育服务中心部门2021年财政拨款收支预算情况的总体说明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2021年财政拨款收支总预算 1703.47 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w:t>
      </w:r>
      <w:r>
        <w:rPr>
          <w:rFonts w:ascii="仿宋_GB2312" w:hAnsi="宋体" w:eastAsia="仿宋_GB2312" w:cs="宋体"/>
          <w:spacing w:val="-6"/>
          <w:kern w:val="0"/>
          <w:sz w:val="32"/>
          <w:szCs w:val="32"/>
        </w:rPr>
        <w:t>国有资本经营预算</w:t>
      </w:r>
      <w:r>
        <w:rPr>
          <w:rFonts w:hint="eastAsia" w:ascii="仿宋_GB2312" w:hAnsi="宋体" w:eastAsia="仿宋_GB2312" w:cs="宋体"/>
          <w:spacing w:val="-6"/>
          <w:kern w:val="0"/>
          <w:sz w:val="32"/>
          <w:szCs w:val="32"/>
        </w:rPr>
        <w:t>。</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收入预算</w:t>
      </w:r>
      <w:r>
        <w:rPr>
          <w:rFonts w:ascii="仿宋_GB2312" w:hAnsi="宋体" w:eastAsia="仿宋_GB2312" w:cs="宋体"/>
          <w:spacing w:val="-6"/>
          <w:kern w:val="0"/>
          <w:sz w:val="32"/>
          <w:szCs w:val="32"/>
        </w:rPr>
        <w:t>包括：一般公共预算拨款</w:t>
      </w:r>
      <w:r>
        <w:rPr>
          <w:rFonts w:hint="eastAsia" w:ascii="仿宋_GB2312" w:hAnsi="宋体" w:eastAsia="仿宋_GB2312" w:cs="宋体"/>
          <w:spacing w:val="-6"/>
          <w:kern w:val="0"/>
          <w:sz w:val="32"/>
          <w:szCs w:val="32"/>
        </w:rPr>
        <w:t xml:space="preserve"> 1703.47 万元</w:t>
      </w:r>
      <w:r>
        <w:rPr>
          <w:rFonts w:ascii="仿宋_GB2312" w:hAnsi="宋体" w:eastAsia="仿宋_GB2312" w:cs="宋体"/>
          <w:spacing w:val="-6"/>
          <w:kern w:val="0"/>
          <w:sz w:val="32"/>
          <w:szCs w:val="32"/>
        </w:rPr>
        <w:t>。</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一般</w:t>
      </w:r>
      <w:r>
        <w:rPr>
          <w:rFonts w:ascii="仿宋_GB2312" w:hAnsi="宋体" w:eastAsia="仿宋_GB2312" w:cs="宋体"/>
          <w:spacing w:val="-6"/>
          <w:kern w:val="0"/>
          <w:sz w:val="32"/>
          <w:szCs w:val="32"/>
        </w:rPr>
        <w:t>公共预算支出包括：</w:t>
      </w:r>
      <w:r>
        <w:rPr>
          <w:rFonts w:hint="eastAsia" w:ascii="仿宋_GB2312" w:hAnsi="宋体" w:eastAsia="仿宋_GB2312" w:cs="宋体"/>
          <w:spacing w:val="-6"/>
          <w:kern w:val="0"/>
          <w:sz w:val="32"/>
          <w:szCs w:val="32"/>
        </w:rPr>
        <w:t>卫生健康支出 1703.47万元</w:t>
      </w:r>
      <w:r>
        <w:rPr>
          <w:rFonts w:ascii="仿宋_GB2312" w:hAnsi="宋体" w:eastAsia="仿宋_GB2312" w:cs="宋体"/>
          <w:spacing w:val="-6"/>
          <w:kern w:val="0"/>
          <w:sz w:val="32"/>
          <w:szCs w:val="32"/>
        </w:rPr>
        <w:t>，主要用于</w:t>
      </w:r>
      <w:r>
        <w:rPr>
          <w:rFonts w:hint="eastAsia" w:ascii="仿宋_GB2312" w:hAnsi="宋体" w:eastAsia="仿宋_GB2312" w:cs="宋体"/>
          <w:spacing w:val="-6"/>
          <w:kern w:val="0"/>
          <w:sz w:val="32"/>
          <w:szCs w:val="32"/>
        </w:rPr>
        <w:t>：人员支出和公用经费支出，开展业务所需经费等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w:t>
      </w:r>
      <w:r>
        <w:rPr>
          <w:rFonts w:hint="eastAsia" w:ascii="黑体" w:hAnsi="黑体" w:eastAsia="黑体" w:cs="宋体"/>
          <w:bCs/>
          <w:kern w:val="0"/>
          <w:sz w:val="32"/>
          <w:szCs w:val="32"/>
        </w:rPr>
        <w:t>关于克州妇幼保健计划生育服务中心部门2021年</w:t>
      </w:r>
      <w:r>
        <w:rPr>
          <w:rFonts w:hint="eastAsia" w:ascii="黑体" w:hAnsi="宋体" w:eastAsia="黑体" w:cs="宋体"/>
          <w:kern w:val="0"/>
          <w:sz w:val="32"/>
          <w:szCs w:val="32"/>
        </w:rPr>
        <w:t>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克州妇幼保健计划生育服务中心部门2021年一般公共预算拨款合计 1703.47 万元，其中</w:t>
      </w:r>
      <w:r>
        <w:rPr>
          <w:rFonts w:ascii="仿宋_GB2312" w:hAnsi="宋体" w:eastAsia="仿宋_GB2312" w:cs="宋体"/>
          <w:kern w:val="0"/>
          <w:sz w:val="32"/>
          <w:szCs w:val="32"/>
        </w:rPr>
        <w:t>：基本支出</w:t>
      </w:r>
      <w:r>
        <w:rPr>
          <w:rFonts w:hint="eastAsia" w:ascii="仿宋_GB2312" w:hAnsi="宋体" w:eastAsia="仿宋_GB2312" w:cs="宋体"/>
          <w:kern w:val="0"/>
          <w:sz w:val="32"/>
          <w:szCs w:val="32"/>
        </w:rPr>
        <w:t xml:space="preserve"> 1606.47 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比上年预算数减少 68.37 万元，下降 4.08  %。主要原因是：联建和为民办实事工作经费减少了24万元，节约开支。</w:t>
      </w:r>
      <w:r>
        <w:rPr>
          <w:rFonts w:ascii="仿宋_GB2312" w:hAnsi="宋体" w:eastAsia="仿宋_GB2312" w:cs="宋体"/>
          <w:kern w:val="0"/>
          <w:sz w:val="32"/>
          <w:szCs w:val="32"/>
        </w:rPr>
        <w:t>项目</w:t>
      </w:r>
      <w:r>
        <w:rPr>
          <w:rFonts w:hint="eastAsia" w:ascii="仿宋_GB2312" w:hAnsi="宋体" w:eastAsia="仿宋_GB2312" w:cs="宋体"/>
          <w:kern w:val="0"/>
          <w:sz w:val="32"/>
          <w:szCs w:val="32"/>
        </w:rPr>
        <w:t>支出 97 万元</w:t>
      </w:r>
      <w:r>
        <w:rPr>
          <w:rFonts w:ascii="仿宋_GB2312" w:hAnsi="宋体" w:eastAsia="仿宋_GB2312" w:cs="宋体"/>
          <w:kern w:val="0"/>
          <w:sz w:val="32"/>
          <w:szCs w:val="32"/>
        </w:rPr>
        <w:t>，比</w:t>
      </w:r>
      <w:r>
        <w:rPr>
          <w:rFonts w:hint="eastAsia" w:ascii="仿宋_GB2312" w:hAnsi="宋体" w:eastAsia="仿宋_GB2312" w:cs="宋体"/>
          <w:kern w:val="0"/>
          <w:sz w:val="32"/>
          <w:szCs w:val="32"/>
        </w:rPr>
        <w:t>上年</w:t>
      </w:r>
      <w:r>
        <w:rPr>
          <w:rFonts w:ascii="仿宋_GB2312" w:hAnsi="宋体" w:eastAsia="仿宋_GB2312" w:cs="宋体"/>
          <w:kern w:val="0"/>
          <w:sz w:val="32"/>
          <w:szCs w:val="32"/>
        </w:rPr>
        <w:t>预算</w:t>
      </w:r>
      <w:r>
        <w:rPr>
          <w:rFonts w:hint="eastAsia" w:ascii="仿宋_GB2312" w:hAnsi="宋体" w:eastAsia="仿宋_GB2312" w:cs="宋体"/>
          <w:kern w:val="0"/>
          <w:sz w:val="32"/>
          <w:szCs w:val="32"/>
        </w:rPr>
        <w:t>数</w:t>
      </w:r>
      <w:r>
        <w:rPr>
          <w:rFonts w:ascii="仿宋_GB2312" w:hAnsi="宋体" w:eastAsia="仿宋_GB2312" w:cs="宋体"/>
          <w:kern w:val="0"/>
          <w:sz w:val="32"/>
          <w:szCs w:val="32"/>
        </w:rPr>
        <w:t>增加</w:t>
      </w:r>
      <w:r>
        <w:rPr>
          <w:rFonts w:hint="eastAsia" w:ascii="仿宋_GB2312" w:hAnsi="宋体" w:eastAsia="仿宋_GB2312" w:cs="宋体"/>
          <w:kern w:val="0"/>
          <w:sz w:val="32"/>
          <w:szCs w:val="32"/>
        </w:rPr>
        <w:t xml:space="preserve"> 10 万元</w:t>
      </w:r>
      <w:r>
        <w:rPr>
          <w:rFonts w:ascii="仿宋_GB2312" w:hAnsi="宋体" w:eastAsia="仿宋_GB2312" w:cs="宋体"/>
          <w:kern w:val="0"/>
          <w:sz w:val="32"/>
          <w:szCs w:val="32"/>
        </w:rPr>
        <w:t>，增长</w:t>
      </w:r>
      <w:r>
        <w:rPr>
          <w:rFonts w:hint="eastAsia" w:ascii="仿宋_GB2312" w:hAnsi="宋体" w:eastAsia="仿宋_GB2312" w:cs="宋体"/>
          <w:kern w:val="0"/>
          <w:sz w:val="32"/>
          <w:szCs w:val="32"/>
        </w:rPr>
        <w:t xml:space="preserve"> 11.49  </w:t>
      </w:r>
      <w:r>
        <w:rPr>
          <w:rFonts w:ascii="仿宋_GB2312" w:hAnsi="宋体" w:eastAsia="仿宋_GB2312" w:cs="宋体"/>
          <w:kern w:val="0"/>
          <w:sz w:val="32"/>
          <w:szCs w:val="32"/>
        </w:rPr>
        <w:t>%。主要</w:t>
      </w:r>
      <w:r>
        <w:rPr>
          <w:rFonts w:hint="eastAsia" w:ascii="仿宋_GB2312" w:hAnsi="宋体" w:eastAsia="仿宋_GB2312" w:cs="宋体"/>
          <w:kern w:val="0"/>
          <w:sz w:val="32"/>
          <w:szCs w:val="32"/>
        </w:rPr>
        <w:t>原因</w:t>
      </w:r>
      <w:r>
        <w:rPr>
          <w:rFonts w:ascii="仿宋_GB2312" w:hAnsi="宋体" w:eastAsia="仿宋_GB2312" w:cs="宋体"/>
          <w:kern w:val="0"/>
          <w:sz w:val="32"/>
          <w:szCs w:val="32"/>
        </w:rPr>
        <w:t>是：</w:t>
      </w:r>
      <w:r>
        <w:rPr>
          <w:rFonts w:hint="eastAsia" w:ascii="仿宋_GB2312" w:hAnsi="宋体" w:eastAsia="仿宋_GB2312" w:cs="宋体"/>
          <w:kern w:val="0"/>
          <w:sz w:val="32"/>
          <w:szCs w:val="32"/>
        </w:rPr>
        <w:t>2021年业务收入成本项目根据2020年上缴财政收入返还增加了14 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卫生健康支出（类：210）</w:t>
      </w:r>
      <w:r>
        <w:rPr>
          <w:rFonts w:hint="eastAsia" w:ascii="仿宋_GB2312" w:hAnsi="宋体" w:eastAsia="仿宋_GB2312" w:cs="宋体"/>
          <w:kern w:val="0"/>
          <w:sz w:val="32"/>
          <w:szCs w:val="32"/>
        </w:rPr>
        <w:t>1703.47</w:t>
      </w:r>
      <w:r>
        <w:rPr>
          <w:rFonts w:hint="eastAsia" w:ascii="仿宋_GB2312" w:hAnsi="仿宋_GB2312" w:eastAsia="仿宋_GB2312" w:cs="仿宋_GB2312"/>
          <w:kern w:val="0"/>
          <w:sz w:val="32"/>
          <w:szCs w:val="32"/>
        </w:rPr>
        <w:t>万元，占100%。</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0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1.卫生健康支出（类：210）公共卫生（款：04）妇幼保健机构（项：03）2021年预算数为 1606.47万元，比上年预算数减少408.5万元，下降20.70%，主要原因是：财政压缩开支，经费减少。</w:t>
      </w:r>
    </w:p>
    <w:p>
      <w:pPr>
        <w:widowControl/>
        <w:spacing w:line="500" w:lineRule="exact"/>
        <w:ind w:firstLine="640"/>
        <w:jc w:val="left"/>
        <w:rPr>
          <w:rFonts w:ascii="仿宋_GB2312" w:hAnsi="宋体" w:eastAsia="仿宋_GB2312" w:cs="宋体"/>
          <w:kern w:val="0"/>
          <w:sz w:val="32"/>
          <w:szCs w:val="32"/>
        </w:rPr>
      </w:pPr>
      <w:r>
        <w:rPr>
          <w:rFonts w:hint="eastAsia" w:ascii="仿宋_GB2312" w:hAnsi="仿宋_GB2312" w:eastAsia="仿宋_GB2312" w:cs="仿宋_GB2312"/>
          <w:kern w:val="0"/>
          <w:sz w:val="32"/>
          <w:szCs w:val="32"/>
        </w:rPr>
        <w:t>2.卫生健康支出（类：210）公共卫生（款：04）</w:t>
      </w:r>
      <w:r>
        <w:rPr>
          <w:rFonts w:hint="eastAsia" w:ascii="仿宋_GB2312" w:hAnsi="宋体" w:eastAsia="仿宋_GB2312" w:cs="宋体"/>
          <w:kern w:val="0"/>
          <w:sz w:val="32"/>
          <w:szCs w:val="32"/>
        </w:rPr>
        <w:t>其他公共卫生支出（</w:t>
      </w:r>
      <w:r>
        <w:rPr>
          <w:rFonts w:hint="eastAsia" w:ascii="仿宋_GB2312" w:hAnsi="仿宋_GB2312" w:eastAsia="仿宋_GB2312" w:cs="仿宋_GB2312"/>
          <w:kern w:val="0"/>
          <w:sz w:val="32"/>
          <w:szCs w:val="32"/>
        </w:rPr>
        <w:t>项：</w:t>
      </w:r>
      <w:r>
        <w:rPr>
          <w:rFonts w:hint="eastAsia" w:ascii="仿宋_GB2312" w:hAnsi="宋体" w:eastAsia="仿宋_GB2312" w:cs="宋体"/>
          <w:kern w:val="0"/>
          <w:sz w:val="32"/>
          <w:szCs w:val="32"/>
        </w:rPr>
        <w:t>99）97万元，比上年预算数减少13.88万元，下降3.50%，主要原因是：2021年我单位联建经费和为民办事经费因为少了一个村，故经费减少了。</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黑体" w:eastAsia="黑体" w:cs="宋体"/>
          <w:bCs/>
          <w:kern w:val="0"/>
          <w:sz w:val="32"/>
          <w:szCs w:val="32"/>
        </w:rPr>
        <w:t>克州妇幼保健计划生育服务中心部门2021年</w:t>
      </w:r>
      <w:r>
        <w:rPr>
          <w:rFonts w:hint="eastAsia" w:ascii="黑体" w:hAnsi="宋体" w:eastAsia="黑体" w:cs="宋体"/>
          <w:kern w:val="0"/>
          <w:sz w:val="32"/>
          <w:szCs w:val="32"/>
        </w:rPr>
        <w:t>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克州妇幼保健计划生育服务中心部门部门2021年一般公共预算基本支出 1606.47万元，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 1534.22 万元，主要包括：基本工资488.48万元、津贴补贴563.77万元、奖金46.67万元、机关事业单位基本养老保险缴费156.04万元、其他社会保障缴费77.99万元、住房公积金112.14万元、离休费13.19万元、退休费27.22万元、抚恤金5.7万元、生活补助1.33万元、其他对个人和家庭的补助37.6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 72.25 万元，主要包括：办公费9万元、印刷费4.18万元、水费0.5万元、电费1万元、邮电费4.6万元、取暖费22.32万元、差旅费2万元、维修（护）费2.5万元、公务接待费2万元、工会经费6.84万元、福利费12.31万元、公务用车运行维护费5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黑体" w:eastAsia="黑体" w:cs="宋体"/>
          <w:bCs/>
          <w:kern w:val="0"/>
          <w:sz w:val="32"/>
          <w:szCs w:val="32"/>
        </w:rPr>
        <w:t>克州妇幼保健计划生育服务中心部门2021年</w:t>
      </w:r>
      <w:r>
        <w:rPr>
          <w:rFonts w:hint="eastAsia" w:ascii="黑体" w:hAnsi="宋体" w:eastAsia="黑体" w:cs="宋体"/>
          <w:kern w:val="0"/>
          <w:sz w:val="32"/>
          <w:szCs w:val="32"/>
        </w:rPr>
        <w:t>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3" w:firstLineChars="200"/>
        <w:rPr>
          <w:rFonts w:ascii="仿宋_GB2312" w:hAnsi="宋体" w:eastAsia="仿宋_GB2312" w:cs="宋体"/>
          <w:b/>
          <w:bCs/>
          <w:kern w:val="0"/>
          <w:sz w:val="32"/>
          <w:szCs w:val="32"/>
        </w:rPr>
      </w:pPr>
      <w:r>
        <w:rPr>
          <w:rFonts w:hint="eastAsia" w:ascii="仿宋_GB2312" w:hAnsi="黑体" w:eastAsia="仿宋_GB2312"/>
          <w:b/>
          <w:bCs/>
          <w:sz w:val="32"/>
          <w:szCs w:val="32"/>
        </w:rPr>
        <w:t>1.项目</w:t>
      </w:r>
      <w:r>
        <w:rPr>
          <w:rFonts w:ascii="仿宋_GB2312" w:hAnsi="黑体" w:eastAsia="仿宋_GB2312"/>
          <w:b/>
          <w:bCs/>
          <w:sz w:val="32"/>
          <w:szCs w:val="32"/>
        </w:rPr>
        <w:t>名称</w:t>
      </w:r>
      <w:r>
        <w:rPr>
          <w:rFonts w:hint="eastAsia" w:ascii="仿宋_GB2312" w:hAnsi="黑体" w:eastAsia="仿宋_GB2312"/>
          <w:b/>
          <w:bCs/>
          <w:sz w:val="32"/>
          <w:szCs w:val="32"/>
        </w:rPr>
        <w:t>：</w:t>
      </w:r>
      <w:r>
        <w:rPr>
          <w:rFonts w:hint="eastAsia" w:ascii="仿宋_GB2312" w:hAnsi="宋体" w:eastAsia="仿宋_GB2312" w:cs="宋体"/>
          <w:b/>
          <w:bCs/>
          <w:kern w:val="0"/>
          <w:sz w:val="32"/>
          <w:szCs w:val="32"/>
        </w:rPr>
        <w:t>联建工作经费</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州本级项目</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14万元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克州妇幼保健计划生育服务中心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在上阿图什镇拉依拉克村、托喀其拉村二个大村联建工作经费共140000元，预计主要用于拉依拉克村、托喀其拉村为群众办实事好事，解决困难家庭实际困难，开展群众工作购买实物，购办公设备等。利用联建工作经费办理实事好事10件，开展群众活动5次。通过调查回访、被将帮扶群众对干部的帮扶解困均十分满意，及时有效的缓解了困难家庭的燃眉之急，将解决其生产生活，子女上学等方面的困难。</w:t>
      </w:r>
    </w:p>
    <w:p>
      <w:pPr>
        <w:spacing w:line="560" w:lineRule="exact"/>
        <w:ind w:firstLine="640" w:firstLineChars="200"/>
        <w:rPr>
          <w:rFonts w:ascii="仿宋_GB2312" w:hAnsi="黑体" w:eastAsia="仿宋_GB2312"/>
          <w:b/>
          <w:bCs/>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2021年1月1日至2021年12月31日。</w:t>
      </w:r>
    </w:p>
    <w:p>
      <w:pPr>
        <w:spacing w:line="560" w:lineRule="exact"/>
        <w:ind w:firstLine="643" w:firstLineChars="200"/>
        <w:rPr>
          <w:rFonts w:ascii="仿宋_GB2312" w:hAnsi="宋体" w:eastAsia="仿宋_GB2312" w:cs="宋体"/>
          <w:b/>
          <w:bCs/>
          <w:kern w:val="0"/>
          <w:sz w:val="32"/>
          <w:szCs w:val="32"/>
        </w:rPr>
      </w:pPr>
      <w:r>
        <w:rPr>
          <w:rFonts w:hint="eastAsia" w:ascii="仿宋_GB2312" w:hAnsi="黑体" w:eastAsia="仿宋_GB2312"/>
          <w:b/>
          <w:bCs/>
          <w:sz w:val="32"/>
          <w:szCs w:val="32"/>
        </w:rPr>
        <w:t>2.项目</w:t>
      </w:r>
      <w:r>
        <w:rPr>
          <w:rFonts w:ascii="仿宋_GB2312" w:hAnsi="黑体" w:eastAsia="仿宋_GB2312"/>
          <w:b/>
          <w:bCs/>
          <w:sz w:val="32"/>
          <w:szCs w:val="32"/>
        </w:rPr>
        <w:t>名称</w:t>
      </w:r>
      <w:r>
        <w:rPr>
          <w:rFonts w:hint="eastAsia" w:ascii="仿宋_GB2312" w:hAnsi="黑体" w:eastAsia="仿宋_GB2312"/>
          <w:b/>
          <w:bCs/>
          <w:sz w:val="32"/>
          <w:szCs w:val="32"/>
        </w:rPr>
        <w:t>：</w:t>
      </w:r>
      <w:r>
        <w:rPr>
          <w:rFonts w:hint="eastAsia" w:ascii="仿宋_GB2312" w:hAnsi="宋体" w:eastAsia="仿宋_GB2312" w:cs="宋体"/>
          <w:b/>
          <w:bCs/>
          <w:kern w:val="0"/>
          <w:sz w:val="32"/>
          <w:szCs w:val="32"/>
        </w:rPr>
        <w:t>免费婚前检查项目</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州本级项目。认真贯彻落实《中华人民共和国母婴保健法》 及其《实施办法》、《中华人民共和国基本医疗卫生与健康促进法》、《两纲》、《两规》、国家和我省残疾预防行动计划、健康克州建设等工作要求，认真实施民生工程，以提高出生人口素质为宗旨，开展免费婚前医学检查， 引导准备结婚的男女双方自觉参加婚前保健，筑牢出生缺陷防治第一道防线，最大限度地控制和减少严重遗传性疾病、指定传染病和精神疾病，促进婚姻家庭幸福和社会和谐发展。建立完善“政府主导、部门合作、技术支撑、群众参与”的工作机制；免费婚前医学检查和国家免费孕前优生健康检查项目有机整合；出生缺陷发生风险逐步降低，出生人口素质逐步提高。</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20万元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克州妇幼保健计划生育服务中心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：免费</w:t>
      </w:r>
      <w:r>
        <w:rPr>
          <w:rFonts w:hint="eastAsia" w:ascii="仿宋_GB2312" w:hAnsi="宋体" w:eastAsia="仿宋_GB2312" w:cs="宋体"/>
          <w:kern w:val="0"/>
          <w:sz w:val="32"/>
          <w:szCs w:val="32"/>
        </w:rPr>
        <w:t>婚前检查所需一次性耗材费用20万元。</w:t>
      </w:r>
    </w:p>
    <w:p>
      <w:pPr>
        <w:spacing w:line="560" w:lineRule="exact"/>
        <w:ind w:firstLine="640" w:firstLineChars="200"/>
        <w:rPr>
          <w:rFonts w:ascii="仿宋_GB2312" w:hAnsi="黑体" w:eastAsia="仿宋_GB2312"/>
          <w:b/>
          <w:bCs/>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2021年1月1日至2021年12月31日</w:t>
      </w:r>
    </w:p>
    <w:p>
      <w:pPr>
        <w:spacing w:line="560" w:lineRule="exact"/>
        <w:ind w:firstLine="643" w:firstLineChars="200"/>
        <w:rPr>
          <w:rFonts w:ascii="仿宋_GB2312" w:hAnsi="宋体" w:eastAsia="仿宋_GB2312" w:cs="宋体"/>
          <w:b/>
          <w:bCs/>
          <w:kern w:val="0"/>
          <w:sz w:val="32"/>
          <w:szCs w:val="32"/>
        </w:rPr>
      </w:pPr>
      <w:r>
        <w:rPr>
          <w:rFonts w:hint="eastAsia" w:ascii="仿宋_GB2312" w:hAnsi="黑体" w:eastAsia="仿宋_GB2312"/>
          <w:b/>
          <w:bCs/>
          <w:sz w:val="32"/>
          <w:szCs w:val="32"/>
        </w:rPr>
        <w:t>3.项目</w:t>
      </w:r>
      <w:r>
        <w:rPr>
          <w:rFonts w:ascii="仿宋_GB2312" w:hAnsi="黑体" w:eastAsia="仿宋_GB2312"/>
          <w:b/>
          <w:bCs/>
          <w:sz w:val="32"/>
          <w:szCs w:val="32"/>
        </w:rPr>
        <w:t>名称</w:t>
      </w:r>
      <w:r>
        <w:rPr>
          <w:rFonts w:hint="eastAsia" w:ascii="仿宋_GB2312" w:hAnsi="黑体" w:eastAsia="仿宋_GB2312"/>
          <w:b/>
          <w:bCs/>
          <w:sz w:val="32"/>
          <w:szCs w:val="32"/>
        </w:rPr>
        <w:t>：</w:t>
      </w:r>
      <w:r>
        <w:rPr>
          <w:rFonts w:hint="eastAsia" w:ascii="仿宋_GB2312" w:hAnsi="宋体" w:eastAsia="仿宋_GB2312" w:cs="宋体"/>
          <w:b/>
          <w:bCs/>
          <w:kern w:val="0"/>
          <w:sz w:val="32"/>
          <w:szCs w:val="32"/>
        </w:rPr>
        <w:t>业务收入成本</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强化母婴安全落实责任。落实加强生育全程基本医疗保健服务、加强母婴安全保障工作、孕产妇妊娠风险评估与管理工作规范等相关文件要求，启动实施母婴安全行动计划，督促落实孕产妇死亡个案报告制度，密切监测安全形势;完善孕产妇和新生儿死亡评审工作,确保母婴安全。为完成两纲中要求：到2021年孕产妇死亡率下降到21/10万，婴儿死亡率下降到10‰，5岁以下儿童死亡率下降到12‰的目标打下坚实基础。推进孕产妇妊娠风险评估与分级管理。依照《自治区高危孕产妇管理办法》要求，强化首诊医疗机构妊娠风险筛查责任及妊娠风险的评估责任，严格实施“绿（低风险）、黄（一般风险）、橙（较高风险）、红（高风险）、紫（传染病）”5种颜色分级标注和分类管理措施。严格落实高危孕产妇的专案管理制度，二级以上医疗机构按照职责和要求对高危人群进行管理。加强妇幼健康服务体系建设。启动实施健康儿童行动计划。加强对儿童健康全方位、全过程管理，促进儿童全面健康发展。开展儿童早期发展专科建设。通过孕期营养、孕期心理、高危儿管理、儿童生长发育、儿童营养、儿童心理等方面的综合干预，充分开发儿童潜能，促进儿童体格、心理、认知、情感和社会适应能力的全面发展</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63万元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克州妇幼保健计划生育服务中心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预防艾滋病10.6万元、儿童营养改善项目12万元、新生儿听力筛查项目2万元、新生儿遗传代谢并筛查项目12.1万元、增补叶酸预防神经管缺陷项目6.5万元、农村妇女两癌检查项目9.5万元、国家免费孕前优生检查项目10.3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2021年1月1日至2021年12月31日</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八、关于克州妇幼保健计划生育服务中心2021年一般公共预算“三公”经费预算情况说明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克州妇幼保健计划生育服务中心2021年“三公”经费财政拨款预算数为 7 万元，其中：因公出国（境）费0万元，公务用车购置0万元，公务用车运行费 5万元，公务接待费5万元。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2021年“三公”经费财政拨款预算比上年增加0 万元，其中：因公出国（境）费增加 0万元，主要原因是未安排预算；公务用车购置费为0万元，未安排预算。公务用车运行费增加 0万元，主要原因是上下年预算一致；公务接待费增加 0万元，主要原因是上下年预算一致。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九、关于克州妇幼保健计划生育服务中心部门2021年政府性基金预算拨款情况说明</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克州妇幼保健计划生育服务中心部门2021年没有使用政府性基金预算拨款安排的支出，政府性基金预算支出情况表为空表。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2021年，克州妇幼保健计划生育服务中心本级及下属  0家行政单位和 0 家事业单位的机关运行经费财政拨款预算72.25万元，比上年预算减少0.25万元，下降 0.71 %。主要原因是 ：节约开支。</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2021年，克州妇幼保健计划生育服务中心部门及下属单位政府采购预算 708.28万元，其中：政府采购货物预算 661.78万元，政府采购工程预算 0 万元，政府采购服务预算46.50万元。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2021年度本部门（单位）面向中小企业预留政府采购项目预算金额0万元，其中：面向小微企业预留政府采购项目预算金额0万元。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截至2020年底，克州妇幼保健计划生育服务中心及下属各预算单位占用使用国有资产总体情况为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 0 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 2 辆，价值 29.24 万元；其中：一般公务用车 0辆，价值 0万元；执法执勤用车 0 辆，价值 0 万元；其他车辆 2 辆，价值 29.24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 70.07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 1285.56万元。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 5台（套），单位价值100万元以上大型设备 2 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2021年部门（单位）预算未安排购置车辆经费（或安排购置车辆经费 0 万元），安排购置50万元以上大型设备 0 台（套），单位价值100万元以上大型设备 0 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2021年度，本年度实行绩效管理的一般公共预算项目   3个，涉及预算金额97万元。具体情况见下表（按项目分别填报）：</w:t>
      </w:r>
    </w:p>
    <w:p>
      <w:pPr>
        <w:spacing w:line="560" w:lineRule="exact"/>
        <w:ind w:firstLine="640" w:firstLineChars="200"/>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p>
    <w:tbl>
      <w:tblPr>
        <w:tblStyle w:val="7"/>
        <w:tblW w:w="8815" w:type="dxa"/>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textAlignment w:val="bottom"/>
              <w:rPr>
                <w:rFonts w:ascii="仿宋_GB2312" w:hAnsi="宋体" w:eastAsia="仿宋_GB2312" w:cs="仿宋_GB2312"/>
                <w:b/>
                <w:color w:val="000000"/>
                <w:kern w:val="0"/>
                <w:sz w:val="32"/>
                <w:szCs w:val="32"/>
                <w:lang w:bidi="ar"/>
              </w:rPr>
            </w:pPr>
          </w:p>
          <w:p>
            <w:pPr>
              <w:widowControl/>
              <w:spacing w:line="480" w:lineRule="exact"/>
              <w:textAlignment w:val="bottom"/>
              <w:rPr>
                <w:rFonts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kern w:val="0"/>
                <w:sz w:val="18"/>
                <w:szCs w:val="18"/>
              </w:rPr>
              <w:t>克州妇幼保健计划生育服务中心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sz w:val="18"/>
                <w:szCs w:val="18"/>
              </w:rPr>
              <w:t>免费婚前检查项目</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 xml:space="preserve">    20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 xml:space="preserve">      0</w:t>
            </w:r>
          </w:p>
        </w:tc>
      </w:tr>
      <w:tr>
        <w:tblPrEx>
          <w:tblCellMar>
            <w:top w:w="0" w:type="dxa"/>
            <w:left w:w="0" w:type="dxa"/>
            <w:bottom w:w="0" w:type="dxa"/>
            <w:right w:w="0" w:type="dxa"/>
          </w:tblCellMar>
        </w:tblPrEx>
        <w:trPr>
          <w:trHeight w:val="4069"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420" w:firstLineChars="200"/>
              <w:jc w:val="left"/>
              <w:rPr>
                <w:rFonts w:ascii="宋体" w:hAnsi="宋体" w:cs="宋体"/>
                <w:color w:val="000000"/>
                <w:sz w:val="18"/>
                <w:szCs w:val="18"/>
              </w:rPr>
            </w:pPr>
            <w:r>
              <w:rPr>
                <w:rFonts w:hint="eastAsia" w:ascii="宋体" w:hAnsi="宋体" w:cs="宋体"/>
                <w:color w:val="000000"/>
                <w:sz w:val="21"/>
                <w:szCs w:val="21"/>
              </w:rPr>
              <w:t>认真贯彻落实《中华人民共和国母婴保健法》 及其《实施办法》、《中华人民共和国基本医疗卫生与健康促进法》、《两纲》、《两规》、国家和我省残疾预防行动计划、健康克州建设等工作要求，认真实施民生工程，以提高出生人口素质为宗旨，开展免费婚前医学检查， 引导准备结婚的男女双方自觉参加婚前保健，筑牢出生缺陷防治第一道防线，最大限度地控制和减少严重遗传性疾病、指定传染病和精神疾病，促进婚姻家庭幸福和社会和谐发展。建立完善“政府主导、部门合作、技术支撑、群众参与”的工作机制；免费婚前医学检查和国家免费孕前优生健康检查项目有机整合；出生缺陷发生风险逐步降低，出生人口素质逐步提高。</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lang w:bidi="ar"/>
              </w:rPr>
              <w:t>婚前检查覆盖率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资金及时拨付率（%）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开展工作所需经费(万元）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20</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出生缺陷发生风险逐步降低</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有效降低</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出生人口素质逐步提高</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有效提高</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促进婚姻家庭幸福和社会和谐发展</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效果显著</w:t>
            </w:r>
          </w:p>
        </w:tc>
      </w:tr>
      <w:tr>
        <w:tblPrEx>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≥95%</w:t>
            </w:r>
          </w:p>
        </w:tc>
      </w:tr>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kern w:val="0"/>
                <w:sz w:val="18"/>
                <w:szCs w:val="18"/>
              </w:rPr>
              <w:t>克州妇幼保健计划生育服务中心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ind w:firstLine="540" w:firstLineChars="300"/>
              <w:jc w:val="left"/>
              <w:textAlignment w:val="center"/>
              <w:rPr>
                <w:rFonts w:ascii="宋体" w:hAnsi="宋体" w:cs="宋体"/>
                <w:color w:val="000000"/>
                <w:sz w:val="18"/>
                <w:szCs w:val="18"/>
              </w:rPr>
            </w:pPr>
            <w:r>
              <w:rPr>
                <w:rFonts w:hint="eastAsia" w:ascii="宋体" w:hAnsi="宋体" w:cs="宋体"/>
                <w:color w:val="000000"/>
                <w:sz w:val="18"/>
                <w:szCs w:val="18"/>
              </w:rPr>
              <w:t>联建工作经费</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14</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 xml:space="preserve">    14</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 xml:space="preserve">      0</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360" w:firstLineChars="200"/>
              <w:jc w:val="left"/>
              <w:rPr>
                <w:rFonts w:ascii="宋体" w:hAnsi="宋体" w:cs="宋体"/>
                <w:color w:val="000000"/>
                <w:sz w:val="18"/>
                <w:szCs w:val="18"/>
              </w:rPr>
            </w:pPr>
            <w:r>
              <w:rPr>
                <w:rFonts w:hint="eastAsia" w:ascii="宋体" w:hAnsi="宋体" w:cs="宋体"/>
                <w:color w:val="000000"/>
                <w:sz w:val="18"/>
                <w:szCs w:val="18"/>
              </w:rPr>
              <w:t>在上阿图什镇拉依拉克村、托喀其拉村二个大村联建工作经费共140000元，预计主要用于拉依拉克村、托喀其拉村为群众办实事好事，解决困难家庭实际困难，开展群众工作购买实物，购办公设备等。利用联建工作经费办理实事好事10件，开展群众活动5次。通过调查回访、被将帮扶群众对干部</w:t>
            </w:r>
            <w:bookmarkStart w:id="0" w:name="_GoBack"/>
            <w:bookmarkEnd w:id="0"/>
            <w:r>
              <w:rPr>
                <w:rFonts w:hint="eastAsia" w:ascii="宋体" w:hAnsi="宋体" w:cs="宋体"/>
                <w:color w:val="000000"/>
                <w:sz w:val="18"/>
                <w:szCs w:val="18"/>
              </w:rPr>
              <w:t>的帮扶解困均十分满意，及时有效的的缓解了困难家庭的燃眉之急，将解决其生产生活，子女上学等方面的困难。</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为群众办实事好事（次数）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车辆加油次数（月/次）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≥6</w:t>
            </w:r>
          </w:p>
        </w:tc>
      </w:tr>
      <w:tr>
        <w:tblPrEx>
          <w:tblCellMar>
            <w:top w:w="0" w:type="dxa"/>
            <w:left w:w="0" w:type="dxa"/>
            <w:bottom w:w="0" w:type="dxa"/>
            <w:right w:w="0" w:type="dxa"/>
          </w:tblCellMar>
        </w:tblPrEx>
        <w:trPr>
          <w:trHeight w:val="467"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举办群众活动（次数）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≥5</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资金及时拨付率（%）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开展工作所需经费(万元）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14</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解决群众困难诉求</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有效解决</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增强了农牧民的幸福和获得感</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效果显著</w:t>
            </w:r>
          </w:p>
        </w:tc>
      </w:tr>
      <w:tr>
        <w:tblPrEx>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≥95%</w:t>
            </w:r>
          </w:p>
        </w:tc>
      </w:tr>
      <w:tr>
        <w:tblPrEx>
          <w:tblCellMar>
            <w:top w:w="0" w:type="dxa"/>
            <w:left w:w="0" w:type="dxa"/>
            <w:bottom w:w="0" w:type="dxa"/>
            <w:right w:w="0" w:type="dxa"/>
          </w:tblCellMar>
        </w:tblPrEx>
        <w:trPr>
          <w:trHeight w:val="4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textAlignment w:val="bottom"/>
              <w:rPr>
                <w:rFonts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kern w:val="0"/>
                <w:sz w:val="32"/>
                <w:szCs w:val="32"/>
                <w:lang w:bidi="ar"/>
              </w:rPr>
            </w:pPr>
          </w:p>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kern w:val="0"/>
                <w:sz w:val="18"/>
                <w:szCs w:val="18"/>
              </w:rPr>
              <w:t>克州妇幼保健计划生育服务中心</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ind w:firstLine="360" w:firstLineChars="200"/>
              <w:jc w:val="left"/>
              <w:textAlignment w:val="center"/>
              <w:rPr>
                <w:rFonts w:ascii="宋体" w:hAnsi="宋体" w:cs="宋体"/>
                <w:color w:val="000000"/>
                <w:sz w:val="18"/>
                <w:szCs w:val="18"/>
              </w:rPr>
            </w:pPr>
            <w:r>
              <w:rPr>
                <w:rFonts w:hint="eastAsia" w:ascii="宋体" w:hAnsi="宋体" w:cs="宋体"/>
                <w:color w:val="000000"/>
                <w:sz w:val="18"/>
                <w:szCs w:val="18"/>
              </w:rPr>
              <w:t>业务收入成本项目</w:t>
            </w:r>
          </w:p>
        </w:tc>
      </w:tr>
      <w:tr>
        <w:tblPrEx>
          <w:tblCellMar>
            <w:top w:w="0" w:type="dxa"/>
            <w:left w:w="0" w:type="dxa"/>
            <w:bottom w:w="0" w:type="dxa"/>
            <w:right w:w="0" w:type="dxa"/>
          </w:tblCellMar>
        </w:tblPrEx>
        <w:trPr>
          <w:trHeight w:val="5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63</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 xml:space="preserve">    63</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r>
              <w:rPr>
                <w:rFonts w:hint="eastAsia" w:ascii="宋体" w:hAnsi="宋体" w:cs="宋体"/>
                <w:color w:val="000000"/>
                <w:sz w:val="18"/>
                <w:szCs w:val="18"/>
              </w:rPr>
              <w:t xml:space="preserve">      0</w:t>
            </w:r>
          </w:p>
        </w:tc>
      </w:tr>
      <w:tr>
        <w:tblPrEx>
          <w:tblCellMar>
            <w:top w:w="0" w:type="dxa"/>
            <w:left w:w="0" w:type="dxa"/>
            <w:bottom w:w="0" w:type="dxa"/>
            <w:right w:w="0" w:type="dxa"/>
          </w:tblCellMar>
        </w:tblPrEx>
        <w:trPr>
          <w:trHeight w:val="110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 xml:space="preserve">    做好结核病监测、检测，推广确证检测策略，开展病人的随访管理。实施国家免疫规划，提高疫苗有效接种率，进一步降低我县疫苗针对传染病的发，冷链库房运转正常。根据自治区下达的工作任务，完成各项工作，强化疫情监测，重抓重点传染病防治，防控监测、做好信息化建设运行维护工作。</w:t>
            </w:r>
          </w:p>
        </w:tc>
      </w:tr>
      <w:tr>
        <w:tblPrEx>
          <w:tblCellMar>
            <w:top w:w="0" w:type="dxa"/>
            <w:left w:w="0" w:type="dxa"/>
            <w:bottom w:w="0" w:type="dxa"/>
            <w:right w:w="0" w:type="dxa"/>
          </w:tblCellMar>
        </w:tblPrEx>
        <w:trPr>
          <w:trHeight w:val="48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国家孕前优生健康检查项目（对）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≥2000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新生儿听力筛查和疾病筛查（人）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≥2500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儿童营养改善项目（人）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≥30000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农村妇女宫劲癌检查项目（人/次）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≥3000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农村妇女乳腺癌检查项目（人/次）</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≥2000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资金使用合规率（%）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2021年12月</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资金及时拨付率（%）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100%</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开展工作所需经费(万元）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63</w:t>
            </w:r>
          </w:p>
        </w:tc>
      </w:tr>
      <w:tr>
        <w:tblPrEx>
          <w:tblCellMar>
            <w:top w:w="0" w:type="dxa"/>
            <w:left w:w="0" w:type="dxa"/>
            <w:bottom w:w="0" w:type="dxa"/>
            <w:right w:w="0" w:type="dxa"/>
          </w:tblCellMar>
        </w:tblPrEx>
        <w:trPr>
          <w:trHeight w:val="440" w:hRule="atLeast"/>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提高妇女健康意识和自我保健意识</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有效提高</w:t>
            </w: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提高妇女健康意识和自我保健意识</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有效提高</w:t>
            </w:r>
          </w:p>
        </w:tc>
      </w:tr>
      <w:tr>
        <w:tblPrEx>
          <w:tblCellMar>
            <w:top w:w="0" w:type="dxa"/>
            <w:left w:w="0" w:type="dxa"/>
            <w:bottom w:w="0" w:type="dxa"/>
            <w:right w:w="0" w:type="dxa"/>
          </w:tblCellMar>
        </w:tblPrEx>
        <w:trPr>
          <w:trHeight w:val="440" w:hRule="atLeast"/>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20"/>
                <w:szCs w:val="20"/>
                <w:lang w:bidi="ar"/>
              </w:rPr>
              <w:t>受益群众满意度（%）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20"/>
                <w:szCs w:val="20"/>
                <w:lang w:bidi="ar"/>
              </w:rPr>
              <w:t>≥90%</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24"/>
          <w:cols w:space="720" w:num="1"/>
          <w:docGrid w:type="lines" w:linePitch="312" w:charSpace="0"/>
        </w:sectPr>
      </w:pPr>
    </w:p>
    <w:p>
      <w:pPr>
        <w:widowControl/>
        <w:spacing w:line="48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spacing w:line="560" w:lineRule="exact"/>
        <w:ind w:firstLine="640" w:firstLineChars="200"/>
        <w:rPr>
          <w:rFonts w:ascii="仿宋_GB2312" w:hAnsi="黑体" w:eastAsia="仿宋_GB2312"/>
          <w:sz w:val="32"/>
          <w:szCs w:val="32"/>
        </w:rPr>
      </w:pPr>
      <w:r>
        <w:rPr>
          <w:rFonts w:hint="eastAsia" w:ascii="仿宋_GB2312" w:hAnsi="宋体" w:eastAsia="仿宋_GB2312" w:cs="宋体"/>
          <w:kern w:val="0"/>
          <w:sz w:val="32"/>
          <w:szCs w:val="32"/>
        </w:rPr>
        <w:t>克州妇幼保健计划生育服务中心无其他需要说明的事项。</w:t>
      </w:r>
    </w:p>
    <w:p>
      <w:pPr>
        <w:widowControl/>
        <w:spacing w:line="520" w:lineRule="exact"/>
        <w:jc w:val="left"/>
        <w:rPr>
          <w:rFonts w:ascii="仿宋_GB2312" w:hAnsi="宋体" w:eastAsia="仿宋_GB2312" w:cs="宋体"/>
          <w:kern w:val="0"/>
          <w:sz w:val="32"/>
          <w:szCs w:val="32"/>
        </w:rPr>
      </w:pP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ascii="仿宋_GB2312" w:eastAsia="仿宋_GB2312"/>
          <w:sz w:val="32"/>
          <w:szCs w:val="32"/>
        </w:rPr>
        <w:t>国有资本经营预算</w:t>
      </w:r>
      <w:r>
        <w:rPr>
          <w:rFonts w:hint="eastAsia" w:ascii="仿宋_GB2312" w:eastAsia="仿宋_GB2312"/>
          <w:sz w:val="32"/>
          <w:szCs w:val="32"/>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三、其他资金：</w:t>
      </w:r>
      <w:r>
        <w:rPr>
          <w:rFonts w:hint="eastAsia" w:ascii="仿宋_GB2312" w:eastAsia="仿宋_GB2312"/>
          <w:sz w:val="32"/>
          <w:szCs w:val="32"/>
        </w:rPr>
        <w:t>包括事业收入、事业经营收入、其他收入等。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四、基本支出：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五、项目支出：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六、“三公”经费：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七、机关运行经费：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克州妇幼保健计划生育服务中心</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2021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rPr>
        <w:t>5</w:t>
      </w:r>
      <w:r>
        <w:rPr>
          <w:rFonts w:ascii="仿宋_GB2312" w:hAnsi="宋体" w:eastAsia="仿宋_GB2312" w:cs="宋体"/>
          <w:kern w:val="0"/>
          <w:sz w:val="32"/>
          <w:szCs w:val="32"/>
        </w:rPr>
        <w:t>日</w:t>
      </w:r>
    </w:p>
    <w:p>
      <w:pPr>
        <w:widowControl/>
        <w:spacing w:line="520" w:lineRule="exact"/>
        <w:jc w:val="left"/>
        <w:rPr>
          <w:rFonts w:ascii="仿宋_GB2312" w:hAnsi="宋体" w:eastAsia="仿宋_GB2312" w:cs="宋体"/>
          <w:kern w:val="0"/>
          <w:sz w:val="32"/>
          <w:szCs w:val="32"/>
        </w:rPr>
      </w:pP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- 37 -</w:t>
    </w:r>
    <w:r>
      <w:rPr>
        <w:rFonts w:ascii="宋体" w:hAnsi="宋体" w:eastAsia="宋体"/>
        <w:sz w:val="28"/>
      </w:rPr>
      <w:fldChar w:fldCharType="end"/>
    </w:r>
    <w:r>
      <w:rPr>
        <w:rStyle w:val="11"/>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54ABF"/>
    <w:rsid w:val="0009522A"/>
    <w:rsid w:val="000A2383"/>
    <w:rsid w:val="000B7C31"/>
    <w:rsid w:val="000C2AA9"/>
    <w:rsid w:val="00121764"/>
    <w:rsid w:val="001662FE"/>
    <w:rsid w:val="00172C01"/>
    <w:rsid w:val="00186398"/>
    <w:rsid w:val="001D3009"/>
    <w:rsid w:val="002166BA"/>
    <w:rsid w:val="00324290"/>
    <w:rsid w:val="00332208"/>
    <w:rsid w:val="003837A1"/>
    <w:rsid w:val="00396814"/>
    <w:rsid w:val="003B4B5F"/>
    <w:rsid w:val="003C61E3"/>
    <w:rsid w:val="00432267"/>
    <w:rsid w:val="004422D6"/>
    <w:rsid w:val="00493EEC"/>
    <w:rsid w:val="004C06DA"/>
    <w:rsid w:val="004C1CA1"/>
    <w:rsid w:val="004F62F9"/>
    <w:rsid w:val="00520D5A"/>
    <w:rsid w:val="006A3660"/>
    <w:rsid w:val="006B6A8C"/>
    <w:rsid w:val="007219F8"/>
    <w:rsid w:val="007E2CEA"/>
    <w:rsid w:val="009035BA"/>
    <w:rsid w:val="00950B98"/>
    <w:rsid w:val="0096028F"/>
    <w:rsid w:val="0099744C"/>
    <w:rsid w:val="009C6198"/>
    <w:rsid w:val="00A9706D"/>
    <w:rsid w:val="00BA582F"/>
    <w:rsid w:val="00C117E5"/>
    <w:rsid w:val="00C827DB"/>
    <w:rsid w:val="00CA4E1E"/>
    <w:rsid w:val="00CC5EEB"/>
    <w:rsid w:val="00CE5389"/>
    <w:rsid w:val="00DC05BF"/>
    <w:rsid w:val="00E569BC"/>
    <w:rsid w:val="00EF4090"/>
    <w:rsid w:val="00F23808"/>
    <w:rsid w:val="00F54FE8"/>
    <w:rsid w:val="00F830A1"/>
    <w:rsid w:val="00F83503"/>
    <w:rsid w:val="00F90952"/>
    <w:rsid w:val="01E3375C"/>
    <w:rsid w:val="026862A0"/>
    <w:rsid w:val="04107F67"/>
    <w:rsid w:val="048F5790"/>
    <w:rsid w:val="05131A28"/>
    <w:rsid w:val="060B0153"/>
    <w:rsid w:val="08746BFE"/>
    <w:rsid w:val="09001846"/>
    <w:rsid w:val="09262995"/>
    <w:rsid w:val="09DF0776"/>
    <w:rsid w:val="0D9218CC"/>
    <w:rsid w:val="0DA918D3"/>
    <w:rsid w:val="11F3067D"/>
    <w:rsid w:val="16370497"/>
    <w:rsid w:val="17C55031"/>
    <w:rsid w:val="18144EFA"/>
    <w:rsid w:val="1A343AC1"/>
    <w:rsid w:val="1B745770"/>
    <w:rsid w:val="1C30362C"/>
    <w:rsid w:val="1CE56F69"/>
    <w:rsid w:val="1D2A104F"/>
    <w:rsid w:val="1D520380"/>
    <w:rsid w:val="220F662D"/>
    <w:rsid w:val="25053C21"/>
    <w:rsid w:val="269B0B2D"/>
    <w:rsid w:val="2AF53689"/>
    <w:rsid w:val="2CAB3706"/>
    <w:rsid w:val="2CF84FBA"/>
    <w:rsid w:val="2F2C2DD1"/>
    <w:rsid w:val="30636260"/>
    <w:rsid w:val="307D5D2C"/>
    <w:rsid w:val="33457F56"/>
    <w:rsid w:val="33773912"/>
    <w:rsid w:val="34A045E1"/>
    <w:rsid w:val="38332046"/>
    <w:rsid w:val="385F5A66"/>
    <w:rsid w:val="3A563F10"/>
    <w:rsid w:val="3A625931"/>
    <w:rsid w:val="3CD23365"/>
    <w:rsid w:val="3DC045DA"/>
    <w:rsid w:val="3E506A65"/>
    <w:rsid w:val="402C0083"/>
    <w:rsid w:val="42CA3F64"/>
    <w:rsid w:val="455845DE"/>
    <w:rsid w:val="45827675"/>
    <w:rsid w:val="45DE0B3D"/>
    <w:rsid w:val="48CF562A"/>
    <w:rsid w:val="494077B7"/>
    <w:rsid w:val="4B2011F5"/>
    <w:rsid w:val="4C0619A6"/>
    <w:rsid w:val="4C886B73"/>
    <w:rsid w:val="4C9206AD"/>
    <w:rsid w:val="4E813E3A"/>
    <w:rsid w:val="4ED41149"/>
    <w:rsid w:val="4F1B039F"/>
    <w:rsid w:val="4F1B5CF4"/>
    <w:rsid w:val="4F6208AF"/>
    <w:rsid w:val="50F03037"/>
    <w:rsid w:val="51D7481E"/>
    <w:rsid w:val="56F767F4"/>
    <w:rsid w:val="5B1E0561"/>
    <w:rsid w:val="602E1AC5"/>
    <w:rsid w:val="62A4266D"/>
    <w:rsid w:val="63670534"/>
    <w:rsid w:val="67C11DC8"/>
    <w:rsid w:val="69A91B6C"/>
    <w:rsid w:val="69DA2D54"/>
    <w:rsid w:val="6A1219CD"/>
    <w:rsid w:val="6A151332"/>
    <w:rsid w:val="6A481808"/>
    <w:rsid w:val="6AEA0791"/>
    <w:rsid w:val="6B1434DC"/>
    <w:rsid w:val="6CB843AD"/>
    <w:rsid w:val="6F556A34"/>
    <w:rsid w:val="71454D3F"/>
    <w:rsid w:val="74435F8E"/>
    <w:rsid w:val="74975A0D"/>
    <w:rsid w:val="76497AC5"/>
    <w:rsid w:val="78FE41C9"/>
    <w:rsid w:val="794754CE"/>
    <w:rsid w:val="7AC77AA3"/>
    <w:rsid w:val="7B2452C2"/>
    <w:rsid w:val="7D4E0B96"/>
    <w:rsid w:val="7ECB4692"/>
    <w:rsid w:val="7F7E2118"/>
    <w:rsid w:val="7FA2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0"/>
    <w:rPr>
      <w:sz w:val="18"/>
      <w:szCs w:val="18"/>
    </w:rPr>
  </w:style>
  <w:style w:type="character" w:customStyle="1" w:styleId="13">
    <w:name w:val="页脚 字符"/>
    <w:basedOn w:val="9"/>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9"/>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2155</Words>
  <Characters>12286</Characters>
  <Lines>102</Lines>
  <Paragraphs>28</Paragraphs>
  <TotalTime>32</TotalTime>
  <ScaleCrop>false</ScaleCrop>
  <LinksUpToDate>false</LinksUpToDate>
  <CharactersWithSpaces>14413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2021-02-07T10:41:00Z</dcterms:created>
  <dc:creator>薛理升</dc:creator>
  <cp:lastModifiedBy>小雪</cp:lastModifiedBy>
  <dcterms:modified xsi:type="dcterms:W3CDTF">2021-03-02T05:42:49Z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