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附件：</w:t>
      </w: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</w:t>
      </w:r>
      <w:r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  <w:t>驻乌干休所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2021年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jc w:val="both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jc w:val="both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40" w:lineRule="exact"/>
        <w:ind w:firstLine="883" w:firstLineChars="200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第一部分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概况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年部门（单位）预算公开表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</w:t>
      </w: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eastAsia="zh-CN"/>
        </w:rPr>
        <w:t>部门（单位）</w:t>
      </w:r>
      <w:r>
        <w:rPr>
          <w:rFonts w:hint="eastAsia" w:ascii="仿宋_GB2312" w:hAnsi="宋体" w:eastAsia="仿宋_GB2312"/>
          <w:kern w:val="0"/>
          <w:sz w:val="32"/>
          <w:szCs w:val="32"/>
        </w:rPr>
        <w:t>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</w:t>
      </w: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eastAsia="zh-CN"/>
        </w:rPr>
        <w:t>部门（单位）</w:t>
      </w:r>
      <w:r>
        <w:rPr>
          <w:rFonts w:hint="eastAsia" w:ascii="仿宋_GB2312" w:hAnsi="宋体" w:eastAsia="仿宋_GB2312"/>
          <w:kern w:val="0"/>
          <w:sz w:val="32"/>
          <w:szCs w:val="32"/>
        </w:rPr>
        <w:t>收入总体情况表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</w:t>
      </w: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eastAsia="zh-CN"/>
        </w:rPr>
        <w:t>部门（单位）</w:t>
      </w:r>
      <w:r>
        <w:rPr>
          <w:rFonts w:hint="eastAsia" w:ascii="仿宋_GB2312" w:hAnsi="宋体" w:eastAsia="仿宋_GB2312"/>
          <w:kern w:val="0"/>
          <w:sz w:val="32"/>
          <w:szCs w:val="32"/>
        </w:rPr>
        <w:t>支出总体情况表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七、一般公共预算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部门（单位）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年收入预算情况说明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年支出预算情况说明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年一般公共预算当年拨款情况说明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年一般公共预算基本支出情况说明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年一般公共预算项目支出情况说明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年政府性基金预算拨款情况说明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1"/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 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黑体" w:hAnsi="黑体" w:eastAsia="黑体"/>
          <w:kern w:val="0"/>
          <w:sz w:val="32"/>
          <w:szCs w:val="32"/>
        </w:rPr>
        <w:t>概况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0" w:leftChars="0" w:firstLine="0" w:firstLineChars="0"/>
        <w:jc w:val="left"/>
        <w:textAlignment w:val="auto"/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主要职能</w:t>
      </w:r>
    </w:p>
    <w:p>
      <w:pPr>
        <w:widowControl/>
        <w:spacing w:line="44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落实老干部的政治待遇，协助有关方面落实生活待遇；组织老干部开展各种有益身心健康的文化娱乐活动和体育健身活动，就近参观经济建设；负责解决老干部生活中的实际困难，及时向上级反映老干部的意见、建议和要求；负责干休所的安全保卫，环境卫生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44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无下属预算单位，下设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kern w:val="0"/>
          <w:sz w:val="32"/>
          <w:szCs w:val="32"/>
        </w:rPr>
        <w:t>个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科室</w:t>
      </w:r>
      <w:r>
        <w:rPr>
          <w:rFonts w:hint="eastAsia" w:ascii="仿宋_GB2312" w:hAnsi="宋体" w:eastAsia="仿宋_GB2312"/>
          <w:kern w:val="0"/>
          <w:sz w:val="32"/>
          <w:szCs w:val="32"/>
        </w:rPr>
        <w:t>，分别是：办公室、医务所。</w:t>
      </w:r>
    </w:p>
    <w:p>
      <w:pPr>
        <w:widowControl/>
        <w:spacing w:line="44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仿宋_GB2312" w:hAnsi="宋体" w:eastAsia="仿宋_GB2312"/>
          <w:kern w:val="0"/>
          <w:sz w:val="32"/>
          <w:szCs w:val="32"/>
        </w:rPr>
        <w:t>编制数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宋体" w:eastAsia="仿宋_GB2312"/>
          <w:kern w:val="0"/>
          <w:sz w:val="32"/>
          <w:szCs w:val="32"/>
        </w:rPr>
        <w:t>，实有人数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宋体" w:eastAsia="仿宋_GB2312"/>
          <w:kern w:val="0"/>
          <w:sz w:val="32"/>
          <w:szCs w:val="32"/>
        </w:rPr>
        <w:t>人，其中：在职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/>
          <w:kern w:val="0"/>
          <w:sz w:val="32"/>
          <w:szCs w:val="32"/>
        </w:rPr>
        <w:t>人，增加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kern w:val="0"/>
          <w:sz w:val="32"/>
          <w:szCs w:val="32"/>
        </w:rPr>
        <w:t>人；退休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kern w:val="0"/>
          <w:sz w:val="32"/>
          <w:szCs w:val="32"/>
        </w:rPr>
        <w:t>人，增加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人；离休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kern w:val="0"/>
          <w:sz w:val="32"/>
          <w:szCs w:val="32"/>
        </w:rPr>
        <w:t>人，增加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kern w:val="0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第二部分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2021年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</w:t>
      </w:r>
      <w:r>
        <w:rPr>
          <w:rFonts w:hint="eastAsia" w:ascii="黑体" w:hAnsi="黑体" w:eastAsia="黑体"/>
          <w:kern w:val="0"/>
          <w:sz w:val="32"/>
          <w:szCs w:val="32"/>
        </w:rPr>
        <w:t>预算公开表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部门（单位）收支总体情况表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克孜勒苏柯尔克孜自治州驻乌干休所</w:t>
      </w:r>
      <w:r>
        <w:rPr>
          <w:rFonts w:hint="eastAsia" w:ascii="仿宋_GB2312" w:hAnsi="宋体" w:eastAsia="仿宋_GB2312"/>
          <w:kern w:val="0"/>
          <w:sz w:val="24"/>
        </w:rPr>
        <w:t xml:space="preserve">     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kern w:val="0"/>
          <w:sz w:val="24"/>
        </w:rPr>
        <w:t xml:space="preserve">  单位：万元</w:t>
      </w:r>
    </w:p>
    <w:tbl>
      <w:tblPr>
        <w:tblStyle w:val="7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277.41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277.41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 xml:space="preserve">    国有资本经营预算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277.41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单位其他资金收入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粮油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物资管理支出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>234 抗疫特别国债还本支出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277.41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277.41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部门（单位）收入总体情况表</w:t>
      </w:r>
    </w:p>
    <w:p>
      <w:pPr>
        <w:widowControl/>
        <w:jc w:val="center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克孜勒苏柯尔克孜自治州驻乌干休所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单位：万元</w:t>
      </w:r>
    </w:p>
    <w:tbl>
      <w:tblPr>
        <w:tblStyle w:val="7"/>
        <w:tblW w:w="10527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450"/>
        <w:gridCol w:w="435"/>
        <w:gridCol w:w="1710"/>
        <w:gridCol w:w="840"/>
        <w:gridCol w:w="885"/>
        <w:gridCol w:w="630"/>
        <w:gridCol w:w="630"/>
        <w:gridCol w:w="660"/>
        <w:gridCol w:w="429"/>
        <w:gridCol w:w="442"/>
        <w:gridCol w:w="570"/>
        <w:gridCol w:w="495"/>
        <w:gridCol w:w="465"/>
        <w:gridCol w:w="645"/>
        <w:gridCol w:w="6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财政专户（教育收费）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lang w:eastAsia="zh-CN"/>
              </w:rPr>
              <w:t>国有资本经营预算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级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补助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收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入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单位其他资金收入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上级专项收入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单位上年结余（不包含国库集中支付额度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277.41 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277.41 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行政事业单位养老支出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277.41 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277.41 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离退休人员管理机构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240.57 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240.57 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其他行政事业单位养老支出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36.84 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36.84 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合  计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277.41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277.41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部门（单位）支出总体情况表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编制部门（单位）： 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克孜勒苏柯尔克孜自治州驻乌干休所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单位：万元</w:t>
      </w:r>
    </w:p>
    <w:tbl>
      <w:tblPr>
        <w:tblStyle w:val="7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435"/>
        <w:gridCol w:w="473"/>
        <w:gridCol w:w="2542"/>
        <w:gridCol w:w="1704"/>
        <w:gridCol w:w="1856"/>
        <w:gridCol w:w="1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5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7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277.41 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240.57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行政事业单位养老支出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277.41 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240.57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离退休人员管理机构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240.57 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240.57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其他行政事业单位养老支出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36.84 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277.41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240.57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36.84</w:t>
            </w:r>
          </w:p>
        </w:tc>
      </w:tr>
    </w:tbl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 w:line="280" w:lineRule="exact"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 w:line="280" w:lineRule="exact"/>
        <w:jc w:val="center"/>
        <w:outlineLvl w:val="1"/>
        <w:rPr>
          <w:rFonts w:ascii="仿宋_GB2312" w:hAnsi="宋体" w:eastAsia="仿宋_GB2312"/>
          <w:kern w:val="0"/>
          <w:szCs w:val="21"/>
        </w:rPr>
      </w:pPr>
      <w:r>
        <w:rPr>
          <w:rFonts w:hint="eastAsia" w:ascii="仿宋_GB2312" w:hAnsi="宋体" w:eastAsia="仿宋_GB2312"/>
          <w:kern w:val="0"/>
          <w:szCs w:val="21"/>
        </w:rPr>
        <w:t>编制部门（单位）：</w:t>
      </w:r>
      <w:r>
        <w:rPr>
          <w:rFonts w:hint="eastAsia" w:ascii="仿宋_GB2312" w:hAnsi="宋体" w:eastAsia="仿宋_GB2312"/>
          <w:kern w:val="0"/>
          <w:szCs w:val="21"/>
          <w:lang w:eastAsia="zh-CN"/>
        </w:rPr>
        <w:t>克孜勒苏柯尔克孜自治州驻乌干休所</w:t>
      </w:r>
      <w:r>
        <w:rPr>
          <w:rFonts w:hint="eastAsia" w:ascii="仿宋_GB2312" w:hAnsi="宋体" w:eastAsia="仿宋_GB2312"/>
          <w:kern w:val="0"/>
          <w:szCs w:val="21"/>
        </w:rPr>
        <w:t xml:space="preserve">                       单位：万元</w:t>
      </w:r>
    </w:p>
    <w:tbl>
      <w:tblPr>
        <w:tblStyle w:val="7"/>
        <w:tblpPr w:leftFromText="180" w:rightFromText="180" w:vertAnchor="text" w:tblpY="1"/>
        <w:tblOverlap w:val="never"/>
        <w:tblW w:w="94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055"/>
        <w:gridCol w:w="2580"/>
        <w:gridCol w:w="901"/>
        <w:gridCol w:w="850"/>
        <w:gridCol w:w="113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5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  计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 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国有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资本经营预算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一、财政拨款（补助）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277.41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277.41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国有资本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  <w:t>经营预算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277.41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277.41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209 社会保险基金支出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 医疗卫生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与计划生育支出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234 抗疫特别国债还本支出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277.41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277.41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277.41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ascii="仿宋_GB2312" w:hAnsi="宋体" w:eastAsia="仿宋_GB2312"/>
          <w:b/>
          <w:kern w:val="0"/>
          <w:sz w:val="28"/>
          <w:szCs w:val="32"/>
        </w:rPr>
        <w:br w:type="textWrapping" w:clear="all"/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70"/>
        <w:gridCol w:w="2670"/>
        <w:gridCol w:w="447"/>
        <w:gridCol w:w="1024"/>
        <w:gridCol w:w="216"/>
        <w:gridCol w:w="162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克孜勒苏柯尔克孜自治州驻乌干休所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1680" w:firstLineChars="700"/>
              <w:jc w:val="both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   目</w:t>
            </w:r>
          </w:p>
        </w:tc>
        <w:tc>
          <w:tcPr>
            <w:tcW w:w="50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6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47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6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277.41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240.57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行政事业单位养老支出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277.41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240.57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离退休人员管理机构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240.57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240.57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其他行政事业单位养老支出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36.84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36.84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277.41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240.57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36.84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7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577"/>
        <w:gridCol w:w="2891"/>
        <w:gridCol w:w="995"/>
        <w:gridCol w:w="706"/>
        <w:gridCol w:w="976"/>
        <w:gridCol w:w="725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克孜勒苏柯尔克孜自治州驻乌干休所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25.53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25.53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取暖费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7.85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维修(护)费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18.36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18.36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13.18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13.18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58.47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58.47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66.86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66.86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4.87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4.87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办公用品及设备采购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8.62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8.62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生活补助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抚恤金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7.29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7.29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15.51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15.51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240.57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219.14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21.43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7"/>
        <w:tblW w:w="9540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546"/>
        <w:gridCol w:w="432"/>
        <w:gridCol w:w="420"/>
        <w:gridCol w:w="1035"/>
        <w:gridCol w:w="1230"/>
        <w:gridCol w:w="750"/>
        <w:gridCol w:w="465"/>
        <w:gridCol w:w="630"/>
        <w:gridCol w:w="735"/>
        <w:gridCol w:w="615"/>
        <w:gridCol w:w="169"/>
        <w:gridCol w:w="446"/>
        <w:gridCol w:w="420"/>
        <w:gridCol w:w="600"/>
        <w:gridCol w:w="345"/>
        <w:gridCol w:w="315"/>
        <w:gridCol w:w="300"/>
        <w:gridCol w:w="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375" w:hRule="atLeast"/>
        </w:trPr>
        <w:tc>
          <w:tcPr>
            <w:tcW w:w="945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一般公共预算项目支出情况表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405" w:hRule="atLeast"/>
        </w:trPr>
        <w:tc>
          <w:tcPr>
            <w:tcW w:w="44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克孜勒苏柯尔克孜自治州驻乌干休所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06" w:type="dxa"/>
            <w:gridSpan w:val="4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615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345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315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379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55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43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42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103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23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36.84 </w:t>
            </w:r>
          </w:p>
        </w:tc>
        <w:tc>
          <w:tcPr>
            <w:tcW w:w="465" w:type="dxa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3.90 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32.94 </w:t>
            </w:r>
          </w:p>
        </w:tc>
        <w:tc>
          <w:tcPr>
            <w:tcW w:w="6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15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0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行政事业单位养老支出</w:t>
            </w:r>
          </w:p>
        </w:tc>
        <w:tc>
          <w:tcPr>
            <w:tcW w:w="123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36.84 </w:t>
            </w:r>
          </w:p>
        </w:tc>
        <w:tc>
          <w:tcPr>
            <w:tcW w:w="465" w:type="dxa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3.90 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32.94 </w:t>
            </w:r>
          </w:p>
        </w:tc>
        <w:tc>
          <w:tcPr>
            <w:tcW w:w="6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15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0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其他行政事业单位养老支出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老干部场馆运行费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3.90 </w:t>
            </w:r>
          </w:p>
        </w:tc>
        <w:tc>
          <w:tcPr>
            <w:tcW w:w="465" w:type="dxa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3.90 </w:t>
            </w:r>
          </w:p>
        </w:tc>
        <w:tc>
          <w:tcPr>
            <w:tcW w:w="735" w:type="dxa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15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0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5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其他行政事业单位养老支出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离退休党支部书记工作补贴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3.72 </w:t>
            </w:r>
          </w:p>
        </w:tc>
        <w:tc>
          <w:tcPr>
            <w:tcW w:w="465" w:type="dxa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3.72 </w:t>
            </w:r>
          </w:p>
        </w:tc>
        <w:tc>
          <w:tcPr>
            <w:tcW w:w="6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15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0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5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其他行政事业单位养老支出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聘用人员工资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29.22 </w:t>
            </w:r>
          </w:p>
        </w:tc>
        <w:tc>
          <w:tcPr>
            <w:tcW w:w="465" w:type="dxa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29.22 </w:t>
            </w:r>
          </w:p>
        </w:tc>
        <w:tc>
          <w:tcPr>
            <w:tcW w:w="6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15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0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5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3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3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15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0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5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3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3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15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0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5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3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3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15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0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5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3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3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15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0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5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3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3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15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0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5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3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3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15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0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5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3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3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15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0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1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4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3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Cs w:val="21"/>
              </w:rPr>
              <w:t>合 计</w:t>
            </w:r>
          </w:p>
        </w:tc>
        <w:tc>
          <w:tcPr>
            <w:tcW w:w="750" w:type="dxa"/>
            <w:vAlign w:val="bottom"/>
          </w:tcPr>
          <w:p>
            <w:pPr>
              <w:widowControl/>
              <w:jc w:val="center"/>
              <w:outlineLvl w:val="1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36.84</w:t>
            </w:r>
          </w:p>
        </w:tc>
        <w:tc>
          <w:tcPr>
            <w:tcW w:w="465" w:type="dxa"/>
            <w:vAlign w:val="bottom"/>
          </w:tcPr>
          <w:p>
            <w:pPr>
              <w:widowControl/>
              <w:jc w:val="center"/>
              <w:outlineLvl w:val="1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widowControl/>
              <w:jc w:val="center"/>
              <w:outlineLvl w:val="1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3.90</w:t>
            </w:r>
          </w:p>
        </w:tc>
        <w:tc>
          <w:tcPr>
            <w:tcW w:w="735" w:type="dxa"/>
            <w:vAlign w:val="bottom"/>
          </w:tcPr>
          <w:p>
            <w:pPr>
              <w:widowControl/>
              <w:jc w:val="center"/>
              <w:outlineLvl w:val="1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32.94</w:t>
            </w:r>
          </w:p>
        </w:tc>
        <w:tc>
          <w:tcPr>
            <w:tcW w:w="615" w:type="dxa"/>
            <w:vAlign w:val="bottom"/>
          </w:tcPr>
          <w:p>
            <w:pPr>
              <w:widowControl/>
              <w:jc w:val="center"/>
              <w:outlineLvl w:val="1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Align w:val="bottom"/>
          </w:tcPr>
          <w:p>
            <w:pPr>
              <w:widowControl/>
              <w:jc w:val="center"/>
              <w:outlineLvl w:val="1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>
            <w:pPr>
              <w:widowControl/>
              <w:jc w:val="center"/>
              <w:outlineLvl w:val="1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>
            <w:pPr>
              <w:widowControl/>
              <w:jc w:val="center"/>
              <w:outlineLvl w:val="1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45" w:type="dxa"/>
            <w:vAlign w:val="bottom"/>
          </w:tcPr>
          <w:p>
            <w:pPr>
              <w:widowControl/>
              <w:jc w:val="center"/>
              <w:outlineLvl w:val="1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5" w:type="dxa"/>
            <w:vAlign w:val="bottom"/>
          </w:tcPr>
          <w:p>
            <w:pPr>
              <w:widowControl/>
              <w:jc w:val="center"/>
              <w:outlineLvl w:val="1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79" w:type="dxa"/>
            <w:gridSpan w:val="2"/>
            <w:vAlign w:val="bottom"/>
          </w:tcPr>
          <w:p>
            <w:pPr>
              <w:widowControl/>
              <w:jc w:val="center"/>
              <w:outlineLvl w:val="1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克孜勒苏柯尔克孜自治州驻乌干休所</w:t>
      </w:r>
      <w:r>
        <w:rPr>
          <w:rFonts w:hint="eastAsia" w:ascii="仿宋_GB2312" w:hAnsi="宋体" w:eastAsia="仿宋_GB2312"/>
          <w:kern w:val="0"/>
          <w:sz w:val="24"/>
        </w:rPr>
        <w:t xml:space="preserve">            单位：万元</w:t>
      </w:r>
    </w:p>
    <w:tbl>
      <w:tblPr>
        <w:tblStyle w:val="7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5.1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5.00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5.00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克孜勒苏柯尔克孜自治州驻乌干休所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单位：万元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699"/>
        <w:gridCol w:w="2544"/>
        <w:gridCol w:w="1669"/>
        <w:gridCol w:w="170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5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6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克孜勒苏柯尔克孜自治州驻乌干休所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年没有使用政府性基金预算拨款安排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支出，政府性基金预算支出情况表为空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docGrid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黑体" w:hAnsi="黑体" w:eastAsia="黑体"/>
          <w:spacing w:val="-6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</w:t>
      </w:r>
      <w:r>
        <w:rPr>
          <w:rFonts w:hint="eastAsia" w:ascii="黑体" w:hAnsi="黑体" w:eastAsia="黑体"/>
          <w:spacing w:val="-6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黑体" w:hAnsi="黑体" w:eastAsia="黑体"/>
          <w:spacing w:val="-6"/>
          <w:kern w:val="0"/>
          <w:sz w:val="32"/>
          <w:szCs w:val="32"/>
        </w:rPr>
        <w:t>预算情况说明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按照全口径预算的原则，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年所有收入和支出均纳入部门（单位）预算管理。收支总预算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277.41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收入预算包括：一般公共预算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277.41万元。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支出预算包括：社会保障和就业支出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277.41万元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277.41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277.41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人员工资变动使人员经费增加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；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国有资本经营预算未安排。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年支出预算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277.41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240.57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86.72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8.98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万元，主要原因是人员工资变动使人员经费增加。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36.84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13.28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1.85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项目支出聘用人员工资调整使项目支出减少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277.41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200"/>
        <w:textAlignment w:val="auto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eastAsia="zh-CN"/>
        </w:rPr>
        <w:t>拨款和国有资本经营预算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200"/>
        <w:textAlignment w:val="auto"/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收入预算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包括：一般公共预算拨款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  <w:lang w:val="en-US" w:eastAsia="zh-CN"/>
        </w:rPr>
        <w:t>277.41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200"/>
        <w:textAlignment w:val="auto"/>
        <w:rPr>
          <w:rFonts w:hint="eastAsia" w:ascii="仿宋_GB2312" w:hAnsi="宋体" w:eastAsia="仿宋_GB2312" w:cs="宋体"/>
          <w:b/>
          <w:spacing w:val="-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一般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公共预算支出包括：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社会保障和就业支出277.41万元，主要用于人员经费219.14万元；公用经费21.43 万元；项目经费36.84万元。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（一）一般公共预算当年拨款规模变化情况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年一般公共预算拨款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合计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277.41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其中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：基本支出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240.57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比上年预算增加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8.98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3.88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%。主要原因是：人员工资变动使人员经费增加。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项目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支出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36.84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，比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上年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预算减少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1.85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4.78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%。主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项目支出聘用人员工资调整使项目支出减少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社会保障与就业支出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(类：208)277.41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占100 %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社会保障和就业支出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类：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208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行政事业单位离退休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款：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05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离退休人员管理机构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项：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03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highlight w:val="none"/>
          <w:lang w:val="en-US" w:eastAsia="zh-CN"/>
        </w:rPr>
        <w:t>：2021年预算数为240.57万元，比上年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比上年预算增加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8.98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3.88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%。主要原因是：人员工资变动使人员经费增加。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社会保障和就业支出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类：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208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行政事业单位离退休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款：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05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其他行政事业单位养老支出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项：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99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highlight w:val="none"/>
          <w:lang w:val="en-US" w:eastAsia="zh-CN"/>
        </w:rPr>
        <w:t>：2021年预算数为36.84万元，比上年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执行数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highlight w:val="none"/>
          <w:lang w:val="en-US" w:eastAsia="zh-CN"/>
        </w:rPr>
        <w:t>减少了1.85万元，下降4.78%，主要原因是：项目支出中聘用人员经费减少。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240.57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 其中：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219.14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万元，主要包括：基本工资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58.47万元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、津贴补贴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66.86万元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4.87万元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、机关事业单位基本养老保险缴费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18.36万元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、其他社会保障缴费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15.51万元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、住房公积金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13.18万元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、离休费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25.53万元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、退休费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8.62万元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、抚恤金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7.29万元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、生活补助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0.44万元。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21.43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万元，主要包括：办公费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、取暖费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7.85万元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、差旅费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、维修（护）费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0.94万元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、工会经费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、福利费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1.44万元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、公务用车运行维护费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、办公设备购置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年一般公共预算项目支出情况说明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情况一：（项目支出、专项业务费按下列内容说明）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：老干部场馆运行费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：根据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克孜勒苏柯尔克孜自治州驻乌</w:t>
      </w:r>
      <w:r>
        <w:rPr>
          <w:rFonts w:hint="eastAsia" w:ascii="仿宋_GB2312" w:hAnsi="黑体" w:eastAsia="仿宋_GB2312"/>
          <w:sz w:val="32"/>
          <w:szCs w:val="32"/>
        </w:rPr>
        <w:t>干休所工作性质，为更好服务于老干部需要。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黑体" w:eastAsia="仿宋_GB2312"/>
          <w:sz w:val="32"/>
          <w:szCs w:val="32"/>
        </w:rPr>
        <w:t>3.9万元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克孜勒苏柯尔克孜自治州驻乌干休所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：根据活动场馆具体需求进行分配。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sz w:val="32"/>
          <w:szCs w:val="32"/>
        </w:rPr>
        <w:t>年1-12月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情况二：（</w:t>
      </w:r>
      <w:r>
        <w:rPr>
          <w:rFonts w:ascii="仿宋_GB2312" w:hAnsi="宋体" w:eastAsia="仿宋_GB2312"/>
          <w:b/>
          <w:sz w:val="32"/>
          <w:szCs w:val="22"/>
        </w:rPr>
        <w:t>属于</w:t>
      </w:r>
      <w:r>
        <w:rPr>
          <w:rFonts w:ascii="仿宋_GB2312" w:hAnsi="宋体" w:eastAsia="仿宋_GB2312"/>
          <w:b/>
          <w:spacing w:val="-8"/>
          <w:sz w:val="32"/>
          <w:szCs w:val="22"/>
        </w:rPr>
        <w:t>对个人补贴的项目支出</w:t>
      </w:r>
      <w:r>
        <w:rPr>
          <w:rFonts w:hint="eastAsia" w:ascii="仿宋_GB2312" w:hAnsi="黑体" w:eastAsia="仿宋_GB2312"/>
          <w:b/>
          <w:sz w:val="32"/>
          <w:szCs w:val="32"/>
        </w:rPr>
        <w:t>按下列内容说明）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：离退休党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支部</w:t>
      </w:r>
      <w:r>
        <w:rPr>
          <w:rFonts w:hint="eastAsia" w:ascii="仿宋_GB2312" w:hAnsi="黑体" w:eastAsia="仿宋_GB2312"/>
          <w:sz w:val="32"/>
          <w:szCs w:val="32"/>
        </w:rPr>
        <w:t>书记工作补贴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：根据文件发放标准，对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克孜勒苏柯尔克孜自治州驻乌</w:t>
      </w:r>
      <w:r>
        <w:rPr>
          <w:rFonts w:hint="eastAsia" w:ascii="仿宋_GB2312" w:hAnsi="黑体" w:eastAsia="仿宋_GB2312"/>
          <w:sz w:val="32"/>
          <w:szCs w:val="32"/>
        </w:rPr>
        <w:t>干休所六个离退休老干部党支部的书记、委员发放工作补贴。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：3.72万元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克孜勒苏柯尔克孜自治州驻乌干休所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：根据文件发放标准，对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克孜勒苏柯尔克孜自治州驻乌</w:t>
      </w:r>
      <w:r>
        <w:rPr>
          <w:rFonts w:hint="eastAsia" w:ascii="仿宋_GB2312" w:hAnsi="黑体" w:eastAsia="仿宋_GB2312"/>
          <w:sz w:val="32"/>
          <w:szCs w:val="32"/>
        </w:rPr>
        <w:t>干休所六个离退休老干部党支部的书记、委员发放工作补贴。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sz w:val="32"/>
          <w:szCs w:val="32"/>
        </w:rPr>
        <w:t>年1-12月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资金来源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财政拨款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宋体" w:eastAsia="仿宋_GB2312"/>
          <w:sz w:val="32"/>
          <w:szCs w:val="22"/>
        </w:rPr>
        <w:t>补贴人数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补贴标准</w:t>
      </w:r>
      <w:r>
        <w:rPr>
          <w:rFonts w:hint="eastAsia" w:ascii="仿宋_GB2312" w:hAnsi="黑体" w:eastAsia="仿宋_GB2312"/>
          <w:sz w:val="32"/>
          <w:szCs w:val="32"/>
        </w:rPr>
        <w:t>：书记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每人</w:t>
      </w:r>
      <w:r>
        <w:rPr>
          <w:rFonts w:hint="eastAsia" w:ascii="仿宋_GB2312" w:hAnsi="黑体" w:eastAsia="仿宋_GB2312"/>
          <w:sz w:val="32"/>
          <w:szCs w:val="32"/>
        </w:rPr>
        <w:t>补贴3600元/年，委员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每人</w:t>
      </w:r>
      <w:r>
        <w:rPr>
          <w:rFonts w:hint="eastAsia" w:ascii="仿宋_GB2312" w:hAnsi="黑体" w:eastAsia="仿宋_GB2312"/>
          <w:sz w:val="32"/>
          <w:szCs w:val="32"/>
        </w:rPr>
        <w:t>1200元/年。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补贴范围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克孜勒苏柯尔克孜自治州驻乌</w:t>
      </w:r>
      <w:r>
        <w:rPr>
          <w:rFonts w:hint="eastAsia" w:ascii="仿宋_GB2312" w:hAnsi="黑体" w:eastAsia="仿宋_GB2312"/>
          <w:sz w:val="32"/>
          <w:szCs w:val="32"/>
        </w:rPr>
        <w:t>干休所6个离退休党支部书记，13个委员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补贴方式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发放给个人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发放程序：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每月发放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受益人群和社会效益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克孜勒苏柯尔克孜自治州驻乌</w:t>
      </w:r>
      <w:r>
        <w:rPr>
          <w:rFonts w:hint="eastAsia" w:ascii="仿宋_GB2312" w:hAnsi="宋体" w:eastAsia="仿宋_GB2312"/>
          <w:sz w:val="32"/>
          <w:szCs w:val="22"/>
          <w:lang w:eastAsia="zh-CN"/>
        </w:rPr>
        <w:t>干休所的离退休党员，鼓励离退休老干部离退休后发挥余热。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.项目名称：聘用人员工资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设立的政策依据：根据公共安全工作要求及单位为老干部服务工作需求。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预算安排规模：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29.22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项目承担单位：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克孜勒苏柯尔克孜自治州驻乌干休所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资金分配情况：根据工作岗位职能分配工资。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资金执行时间：20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年1-12月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资金来源：财政拨款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补贴人数：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补贴标准：平均月工资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0.35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补贴范围：单位聘用的保安、驾驶员。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补贴方式：发放给个人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发放程序：每月发放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受益人群和社会效益：解决了聘用人员的就业，同时为老干部的出行、日常生活提供方便，安全、环境优美得到保障。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“三公”经费数为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万元，公务用车运行费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“三公”经费比上年减少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1.65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因公出国（境）费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人员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；公务用车购置费为0，未安排预算；公务用车运行费减少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1.45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根据实际车辆运行情况，厉行节约，减少经费开支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；公务接待费减少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根据单位实际情况，厉行节约，减少经费开支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本级及下属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家行政单位和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家事业单位的机关运行经费财政拨款预算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21.43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万元，比上年预算增加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工会经费和福利费根据工资比例计提有所增加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政府采购预算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万元，其中：政府采购货物预算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万元，政府采购工程预算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万元，政府采购服务预算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2021</w:t>
      </w:r>
      <w:r>
        <w:rPr>
          <w:rFonts w:hint="eastAsia" w:ascii="仿宋_GB2312" w:hAnsi="仿宋_GB2312" w:eastAsia="仿宋_GB2312"/>
          <w:sz w:val="32"/>
        </w:rPr>
        <w:t>年度本部门（单位）面向中小企业预留政府采购项目预算金额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万元，其中：面向小微企业预留政府采购项目预算金额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 xml:space="preserve"> 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底，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占用使用国有资产总体情况为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1780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206.43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2.车辆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116.14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万元；其中：一般公务用车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116.14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万元；执法执勤用车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万元；其他车辆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1.81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81.28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台（套），单位价值100万元以上大型设备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年部门（单位）预算未安排购置车辆经费（或安排购置车辆经费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万元），安排购置50万元以上大型设备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台（套），单位价值100万元以上大型设备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台（套）。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年度，本年度实行绩效管理的一般公共预算项目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个，涉及预算金额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36.84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万元。具体情况见下表（按项目分别填报）：</w:t>
      </w:r>
    </w:p>
    <w:tbl>
      <w:tblPr>
        <w:tblStyle w:val="7"/>
        <w:tblW w:w="88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ind w:firstLine="1606" w:firstLineChars="500"/>
              <w:jc w:val="both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80" w:lineRule="exact"/>
              <w:ind w:firstLine="1606" w:firstLineChars="500"/>
              <w:jc w:val="both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克孜勒苏柯尔克孜自治州驻乌干休所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老干部场馆运行费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3.9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3.9</w:t>
            </w: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根据克孜勒苏柯尔克孜自治州驻乌干休所离退休老干部的需要，对活动场所设施进行维护和老干部活动用品的购买，包括围墙翻修、热力管网阀门更换、活动场所两处卫生间修缮改造、下水疏通，为老干部生活、学习、活动提供各全方位的服务。使老干部场所正常运转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维修维护活动场所个数（个）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围墙翻修长度（米）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热力管网更换阀门个数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（个）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23"/>
                <w:lang w:val="en-US" w:eastAsia="zh-CN" w:bidi="ar"/>
              </w:rPr>
              <w:t>两处卫生间修缮改造面积（</w:t>
            </w:r>
            <w:r>
              <w:rPr>
                <w:rStyle w:val="24"/>
                <w:lang w:val="en-US" w:eastAsia="zh-CN" w:bidi="ar"/>
              </w:rPr>
              <w:t>㎡</w:t>
            </w:r>
            <w:r>
              <w:rPr>
                <w:rStyle w:val="23"/>
                <w:lang w:val="en-US" w:eastAsia="zh-CN" w:bidi="ar"/>
              </w:rPr>
              <w:t>）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活动人员出勤率（%）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≥80%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项目完成时间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工作完成及时率（%）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老干部场馆运行费（万元）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提高老干部的晚年生活质量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有效提高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使老干部老有所学、老有所乐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效果显著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老干部满意度（%）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</w:tr>
    </w:tbl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7"/>
        <w:tblW w:w="88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克孜勒苏柯尔克孜自治州驻乌干休所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离退休党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支部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书记工作补贴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3.72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3.72</w:t>
            </w: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根据文件精神，为加强和改进离退休老干部党组织建设，进一步发挥支部书记、委员凝聚力、引领老党员的带头人作用。按要求每月按时发放19名离退休党支部书记委员工作补贴。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发放人数（人）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资金使用合规率（%）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资金拨付及时率（%）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离退休党支部书记工作补贴（万元）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保障了离退休党组织的活力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不断强化离退休干部党组织战斗堡垒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效果显著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受益党支部书记委员满意度（%）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</w:tr>
    </w:tbl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7"/>
        <w:tblW w:w="88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564"/>
        <w:gridCol w:w="1112"/>
        <w:gridCol w:w="1476"/>
        <w:gridCol w:w="1039"/>
        <w:gridCol w:w="1481"/>
        <w:gridCol w:w="11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克孜勒苏柯尔克孜自治州驻乌干休所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聘用人员工资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29.22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29.22</w:t>
            </w: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根据克孜勒苏柯尔克孜自治州驻乌干休所离退休老干部的需要，聘用保安、司机。为老干部的出行、就医提供方便，使克孜勒苏柯尔克孜自治州驻乌干休所安全、环境优美得到保障。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聘用人员数量（人）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资金使用合规率（%）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62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发放工资及时率（%）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62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聘用人员工资发放标准（元/月）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聘用人员工资发放（万元）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保障老干部的用车服务、日常生活提供方便，安全、环境优美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62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提高人员的生活水平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有效提高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受益聘用人员满意度（%）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</w:tr>
    </w:tbl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widowControl/>
        <w:spacing w:line="480" w:lineRule="exact"/>
        <w:ind w:firstLine="321" w:firstLineChars="100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无其他说明事项。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left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、项目支出：</w:t>
      </w:r>
      <w:r>
        <w:rPr>
          <w:rFonts w:hint="eastAsia" w:ascii="仿宋_GB2312" w:eastAsia="仿宋_GB2312"/>
          <w:sz w:val="32"/>
          <w:szCs w:val="32"/>
        </w:rPr>
        <w:t>部门（单位）支出预算的组成部分，是自治区本级部门（单位）为完成其特定的行政任务或事业发展目标，在基本支出预算之外编制的年度项目支出计划。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、“三公”经费：</w:t>
      </w:r>
      <w:r>
        <w:rPr>
          <w:rFonts w:hint="eastAsia" w:ascii="仿宋_GB2312" w:eastAsia="仿宋_GB2312"/>
          <w:sz w:val="32"/>
          <w:szCs w:val="32"/>
        </w:rPr>
        <w:t>指自治州本级部门（单位）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/>
        <w:textAlignment w:val="auto"/>
        <w:rPr>
          <w:rFonts w:hint="eastAsia" w:ascii="仿宋_GB2312" w:eastAsia="仿宋_GB2312"/>
          <w:sz w:val="32"/>
          <w:szCs w:val="32"/>
        </w:rPr>
        <w:sectPr>
          <w:footerReference r:id="rId6" w:type="default"/>
          <w:footerReference r:id="rId7" w:type="even"/>
          <w:pgSz w:w="11906" w:h="16838"/>
          <w:pgMar w:top="2041" w:right="1276" w:bottom="2041" w:left="1276" w:header="851" w:footer="1814" w:gutter="0"/>
          <w:pgNumType w:fmt="numberInDash"/>
          <w:cols w:space="720" w:num="1"/>
          <w:docGrid w:type="lines" w:linePitch="435" w:charSpace="-1675"/>
        </w:sectPr>
      </w:pPr>
      <w:r>
        <w:rPr>
          <w:rFonts w:hint="eastAsia" w:ascii="黑体" w:hAnsi="黑体" w:eastAsia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、机关运行经费：</w:t>
      </w:r>
      <w:r>
        <w:rPr>
          <w:rFonts w:hint="eastAsia" w:ascii="仿宋_GB2312" w:eastAsia="仿宋_GB2312"/>
          <w:sz w:val="32"/>
          <w:szCs w:val="32"/>
        </w:rPr>
        <w:t>指各部门（单位）的公用经费，包括办公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及印刷费、邮电费、差旅费、会议费、福利费、日常维修费、专用材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料及一般设备购置费、办公用房水电费、办公用房取暖费、办公用房物业管理费、公务用车运行维护费及其他费用。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ind w:left="5440" w:hanging="5440" w:hangingChars="17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克孜勒苏柯尔克孜自治州驻乌干休所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sectPr>
      <w:footerReference r:id="rId8" w:type="default"/>
      <w:pgSz w:w="11906" w:h="16838"/>
      <w:pgMar w:top="2041" w:right="1276" w:bottom="2041" w:left="1276" w:header="851" w:footer="1814" w:gutter="0"/>
      <w:pgNumType w:fmt="decimal" w:start="25"/>
      <w:cols w:space="720" w:num="1"/>
      <w:docGrid w:type="lines" w:linePitch="435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 xml:space="preserve"> 21 -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 xml:space="preserve"> 21 -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20 -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  <w:rPr>
                              <w:rStyle w:val="11"/>
                              <w:rFonts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Style w:val="11"/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ascii="宋体" w:hAnsi="宋体" w:eastAsia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1"/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宋体" w:hAnsi="宋体" w:eastAsia="宋体"/>
                              <w:sz w:val="28"/>
                            </w:rPr>
                            <w:t>- 24 -</w:t>
                          </w:r>
                          <w:r>
                            <w:rPr>
                              <w:rStyle w:val="11"/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  <w:rPr>
                        <w:rStyle w:val="11"/>
                        <w:rFonts w:ascii="宋体" w:hAnsi="宋体" w:eastAsia="宋体"/>
                        <w:sz w:val="28"/>
                      </w:rPr>
                    </w:pPr>
                    <w:r>
                      <w:rPr>
                        <w:rStyle w:val="11"/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Style w:val="11"/>
                        <w:rFonts w:ascii="宋体" w:hAnsi="宋体" w:eastAsia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Style w:val="11"/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Style w:val="11"/>
                        <w:rFonts w:ascii="宋体" w:hAnsi="宋体" w:eastAsia="宋体"/>
                        <w:sz w:val="28"/>
                      </w:rPr>
                      <w:t>- 24 -</w:t>
                    </w:r>
                    <w:r>
                      <w:rPr>
                        <w:rStyle w:val="11"/>
                        <w:rFonts w:ascii="宋体" w:hAnsi="宋体" w:eastAsia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756" w:y="37"/>
      <w:rPr>
        <w:rStyle w:val="11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- 34 -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  <w:rPr>
                              <w:rStyle w:val="11"/>
                              <w:rFonts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Style w:val="11"/>
                              <w:rFonts w:ascii="宋体" w:hAnsi="宋体" w:eastAsia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Style w:val="11"/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ascii="宋体" w:hAnsi="宋体" w:eastAsia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1"/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宋体" w:hAnsi="宋体" w:eastAsia="宋体"/>
                              <w:sz w:val="28"/>
                            </w:rPr>
                            <w:t>- 22 -</w:t>
                          </w:r>
                          <w:r>
                            <w:rPr>
                              <w:rStyle w:val="11"/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11"/>
                              <w:rFonts w:ascii="宋体" w:hAnsi="宋体" w:eastAsia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  <w:rPr>
                        <w:rStyle w:val="11"/>
                        <w:rFonts w:ascii="宋体" w:hAnsi="宋体" w:eastAsia="宋体"/>
                        <w:sz w:val="28"/>
                      </w:rPr>
                    </w:pPr>
                    <w:r>
                      <w:rPr>
                        <w:rStyle w:val="11"/>
                        <w:rFonts w:ascii="宋体" w:hAnsi="宋体" w:eastAsia="宋体"/>
                        <w:sz w:val="28"/>
                      </w:rPr>
                      <w:t xml:space="preserve">— </w:t>
                    </w:r>
                    <w:r>
                      <w:rPr>
                        <w:rStyle w:val="11"/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Style w:val="11"/>
                        <w:rFonts w:ascii="宋体" w:hAnsi="宋体" w:eastAsia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Style w:val="11"/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Style w:val="11"/>
                        <w:rFonts w:ascii="宋体" w:hAnsi="宋体" w:eastAsia="宋体"/>
                        <w:sz w:val="28"/>
                      </w:rPr>
                      <w:t>- 22 -</w:t>
                    </w:r>
                    <w:r>
                      <w:rPr>
                        <w:rStyle w:val="11"/>
                        <w:rFonts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Style w:val="11"/>
                        <w:rFonts w:ascii="宋体" w:hAnsi="宋体" w:eastAsia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76BB7F"/>
    <w:multiLevelType w:val="singleLevel"/>
    <w:tmpl w:val="7776BB7F"/>
    <w:lvl w:ilvl="0" w:tentative="0">
      <w:start w:val="1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BF"/>
    <w:rsid w:val="00043712"/>
    <w:rsid w:val="0009522A"/>
    <w:rsid w:val="00121764"/>
    <w:rsid w:val="001410DA"/>
    <w:rsid w:val="001662FE"/>
    <w:rsid w:val="00172C01"/>
    <w:rsid w:val="00186398"/>
    <w:rsid w:val="001D3009"/>
    <w:rsid w:val="002166BA"/>
    <w:rsid w:val="00324290"/>
    <w:rsid w:val="00396814"/>
    <w:rsid w:val="003B4B5F"/>
    <w:rsid w:val="003C61E3"/>
    <w:rsid w:val="00432267"/>
    <w:rsid w:val="00493EEC"/>
    <w:rsid w:val="004B5A44"/>
    <w:rsid w:val="004D2619"/>
    <w:rsid w:val="004F62F9"/>
    <w:rsid w:val="00520D5A"/>
    <w:rsid w:val="006B6A8C"/>
    <w:rsid w:val="006D5EAD"/>
    <w:rsid w:val="007219F8"/>
    <w:rsid w:val="007E2CEA"/>
    <w:rsid w:val="009035BA"/>
    <w:rsid w:val="00907796"/>
    <w:rsid w:val="0096028F"/>
    <w:rsid w:val="0099744C"/>
    <w:rsid w:val="009C6198"/>
    <w:rsid w:val="00A9706D"/>
    <w:rsid w:val="00B127E0"/>
    <w:rsid w:val="00BA582F"/>
    <w:rsid w:val="00C117E5"/>
    <w:rsid w:val="00CA4E1E"/>
    <w:rsid w:val="00DC05BF"/>
    <w:rsid w:val="00E72E1E"/>
    <w:rsid w:val="00F23808"/>
    <w:rsid w:val="00F54FE8"/>
    <w:rsid w:val="00F830A1"/>
    <w:rsid w:val="00F83503"/>
    <w:rsid w:val="00F90952"/>
    <w:rsid w:val="01B67315"/>
    <w:rsid w:val="04997E26"/>
    <w:rsid w:val="08F566A8"/>
    <w:rsid w:val="09C54446"/>
    <w:rsid w:val="0B152456"/>
    <w:rsid w:val="0B1B03FD"/>
    <w:rsid w:val="0FF02104"/>
    <w:rsid w:val="147D4BE8"/>
    <w:rsid w:val="1ADB67D3"/>
    <w:rsid w:val="27701EA2"/>
    <w:rsid w:val="285A704B"/>
    <w:rsid w:val="2F9A4FE3"/>
    <w:rsid w:val="31281221"/>
    <w:rsid w:val="37011A93"/>
    <w:rsid w:val="371A723A"/>
    <w:rsid w:val="3A4B2AFC"/>
    <w:rsid w:val="4435543E"/>
    <w:rsid w:val="4EE514F8"/>
    <w:rsid w:val="4F8857A5"/>
    <w:rsid w:val="4FB94901"/>
    <w:rsid w:val="579557C6"/>
    <w:rsid w:val="57961050"/>
    <w:rsid w:val="58E8338C"/>
    <w:rsid w:val="595C1E04"/>
    <w:rsid w:val="693C1F3B"/>
    <w:rsid w:val="712F72D5"/>
    <w:rsid w:val="74C00F6E"/>
    <w:rsid w:val="754A6A6F"/>
    <w:rsid w:val="7986444F"/>
    <w:rsid w:val="7A5D5482"/>
    <w:rsid w:val="7C6B7E35"/>
    <w:rsid w:val="7EDA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Indent 3"/>
    <w:basedOn w:val="1"/>
    <w:link w:val="15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 w:asciiTheme="minorHAnsi" w:hAnsiTheme="minorHAnsi" w:cstheme="minorBidi"/>
      <w:sz w:val="32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字符"/>
    <w:basedOn w:val="9"/>
    <w:link w:val="4"/>
    <w:qFormat/>
    <w:uiPriority w:val="0"/>
    <w:rPr>
      <w:sz w:val="18"/>
      <w:szCs w:val="18"/>
    </w:rPr>
  </w:style>
  <w:style w:type="character" w:customStyle="1" w:styleId="13">
    <w:name w:val="页脚 字符"/>
    <w:basedOn w:val="9"/>
    <w:link w:val="3"/>
    <w:qFormat/>
    <w:uiPriority w:val="99"/>
    <w:rPr>
      <w:sz w:val="18"/>
      <w:szCs w:val="18"/>
    </w:rPr>
  </w:style>
  <w:style w:type="character" w:customStyle="1" w:styleId="14">
    <w:name w:val="批注框文本 字符"/>
    <w:link w:val="2"/>
    <w:semiHidden/>
    <w:qFormat/>
    <w:uiPriority w:val="0"/>
    <w:rPr>
      <w:sz w:val="18"/>
      <w:szCs w:val="18"/>
    </w:rPr>
  </w:style>
  <w:style w:type="character" w:customStyle="1" w:styleId="15">
    <w:name w:val="正文文本缩进 3 字符"/>
    <w:link w:val="5"/>
    <w:qFormat/>
    <w:uiPriority w:val="0"/>
    <w:rPr>
      <w:rFonts w:eastAsia="仿宋_GB2312"/>
      <w:sz w:val="32"/>
      <w:szCs w:val="24"/>
    </w:rPr>
  </w:style>
  <w:style w:type="paragraph" w:customStyle="1" w:styleId="16">
    <w:name w:val="普通(网站)2"/>
    <w:basedOn w:val="1"/>
    <w:qFormat/>
    <w:uiPriority w:val="0"/>
    <w:rPr>
      <w:rFonts w:ascii="Calibri" w:hAnsi="Calibri" w:cs="黑体"/>
      <w:sz w:val="24"/>
    </w:rPr>
  </w:style>
  <w:style w:type="character" w:customStyle="1" w:styleId="17">
    <w:name w:val="正文文本缩进 3 字符1"/>
    <w:basedOn w:val="9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9">
    <w:name w:val="普通(网站)3"/>
    <w:basedOn w:val="1"/>
    <w:qFormat/>
    <w:uiPriority w:val="0"/>
    <w:rPr>
      <w:rFonts w:ascii="Calibri" w:hAnsi="Calibri" w:cs="黑体"/>
      <w:sz w:val="24"/>
    </w:rPr>
  </w:style>
  <w:style w:type="character" w:customStyle="1" w:styleId="20">
    <w:name w:val="批注框文本 字符1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  <w:style w:type="character" w:customStyle="1" w:styleId="23">
    <w:name w:val="font1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01"/>
    <w:basedOn w:val="9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2401</Words>
  <Characters>13686</Characters>
  <Lines>114</Lines>
  <Paragraphs>32</Paragraphs>
  <TotalTime>4</TotalTime>
  <ScaleCrop>false</ScaleCrop>
  <LinksUpToDate>false</LinksUpToDate>
  <CharactersWithSpaces>16055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2021-01-27T08:28:00Z</dcterms:created>
  <dc:creator>薛理升</dc:creator>
  <cp:lastModifiedBy>干休所</cp:lastModifiedBy>
  <cp:lastPrinted>2021-08-17T11:20:12Z</cp:lastPrinted>
  <dcterms:modified xsi:type="dcterms:W3CDTF">2021-08-17T11:20:33Z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373350585_btnclosed</vt:lpwstr>
  </property>
  <property fmtid="{D5CDD505-2E9C-101B-9397-08002B2CF9AE}" pid="4" name="ICV">
    <vt:lpwstr>D63C0FE6AC5A4E77BA3C63D7E86A61FA</vt:lpwstr>
  </property>
</Properties>
</file>