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left"/>
        <w:outlineLvl w:val="1"/>
        <w:rPr>
          <w:rFonts w:hint="eastAsia" w:ascii="方正小标宋_GBK" w:hAnsi="宋体" w:eastAsia="方正小标宋_GBK"/>
          <w:kern w:val="0"/>
          <w:sz w:val="36"/>
          <w:szCs w:val="36"/>
          <w:lang w:val="en-US" w:eastAsia="zh-CN"/>
        </w:rPr>
      </w:pPr>
      <w:bookmarkStart w:id="0" w:name="_GoBack"/>
      <w:bookmarkEnd w:id="0"/>
    </w:p>
    <w:p>
      <w:pPr>
        <w:rPr>
          <w:rFonts w:ascii="宋体" w:hAnsi="宋体" w:cs="宋体"/>
          <w:b/>
          <w:bCs/>
          <w:kern w:val="0"/>
          <w:sz w:val="44"/>
          <w:szCs w:val="44"/>
        </w:rPr>
      </w:pPr>
    </w:p>
    <w:p>
      <w:pPr>
        <w:rPr>
          <w:rFonts w:ascii="宋体" w:hAnsi="宋体" w:cs="宋体"/>
          <w:b/>
          <w:bCs/>
          <w:kern w:val="0"/>
          <w:sz w:val="44"/>
          <w:szCs w:val="44"/>
        </w:rPr>
      </w:pPr>
    </w:p>
    <w:p>
      <w:pPr>
        <w:rPr>
          <w:rFonts w:ascii="黑体" w:hAnsi="黑体" w:eastAsia="黑体"/>
          <w:sz w:val="32"/>
          <w:szCs w:val="32"/>
        </w:rPr>
      </w:pPr>
    </w:p>
    <w:p>
      <w:pPr>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克孜勒苏柯尔克孜自治州退役军人事务局2021年预算公开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40" w:lineRule="exact"/>
        <w:jc w:val="center"/>
        <w:outlineLvl w:val="1"/>
        <w:rPr>
          <w:rFonts w:ascii="宋体" w:hAnsi="宋体"/>
          <w:b/>
          <w:kern w:val="0"/>
          <w:sz w:val="44"/>
          <w:szCs w:val="44"/>
        </w:rPr>
      </w:pPr>
    </w:p>
    <w:p>
      <w:pPr>
        <w:widowControl/>
        <w:spacing w:line="440" w:lineRule="exact"/>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40" w:lineRule="exact"/>
        <w:ind w:firstLine="883" w:firstLineChars="200"/>
        <w:outlineLvl w:val="1"/>
        <w:rPr>
          <w:rFonts w:ascii="宋体" w:hAnsi="宋体"/>
          <w:b/>
          <w:kern w:val="0"/>
          <w:sz w:val="44"/>
          <w:szCs w:val="44"/>
        </w:rPr>
      </w:pP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克孜勒苏柯尔克孜自治州退役军人事务局概况</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2021年部门（单位）预算公开表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一、部门（单位）收支总体情况表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二、部门（单位）收入总体情况表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三、部门（单位）支出总体情况表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2021年部门（单位）预算情况说明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eastAsia="zh-CN"/>
        </w:rPr>
        <w:t>克孜勒苏柯尔克孜自治州退役军人事务局</w:t>
      </w:r>
      <w:r>
        <w:rPr>
          <w:rFonts w:hint="eastAsia" w:ascii="仿宋_GB2312" w:hAnsi="宋体" w:eastAsia="仿宋_GB2312"/>
          <w:kern w:val="0"/>
          <w:sz w:val="32"/>
          <w:szCs w:val="32"/>
        </w:rPr>
        <w:t>2021年收支预算情况的总体说明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eastAsia="zh-CN"/>
        </w:rPr>
        <w:t>克孜勒苏柯尔克孜自治州退役军人事务局</w:t>
      </w:r>
      <w:r>
        <w:rPr>
          <w:rFonts w:hint="eastAsia" w:ascii="仿宋_GB2312" w:hAnsi="宋体" w:eastAsia="仿宋_GB2312"/>
          <w:kern w:val="0"/>
          <w:sz w:val="32"/>
          <w:szCs w:val="32"/>
        </w:rPr>
        <w:t>2021年收入预算情况说明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eastAsia="zh-CN"/>
        </w:rPr>
        <w:t>克孜勒苏柯尔克孜自治州退役军人事务局</w:t>
      </w:r>
      <w:r>
        <w:rPr>
          <w:rFonts w:hint="eastAsia" w:ascii="仿宋_GB2312" w:hAnsi="宋体" w:eastAsia="仿宋_GB2312"/>
          <w:kern w:val="0"/>
          <w:sz w:val="32"/>
          <w:szCs w:val="32"/>
        </w:rPr>
        <w:t>2021年支出预算情况说明</w:t>
      </w:r>
    </w:p>
    <w:p>
      <w:pPr>
        <w:widowControl/>
        <w:spacing w:line="44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lang w:eastAsia="zh-CN"/>
        </w:rPr>
        <w:t>克孜勒苏柯尔克孜自治州退役军人事务局</w:t>
      </w:r>
      <w:r>
        <w:rPr>
          <w:rFonts w:hint="eastAsia" w:ascii="仿宋_GB2312" w:hAnsi="宋体" w:eastAsia="仿宋_GB2312"/>
          <w:kern w:val="0"/>
          <w:sz w:val="32"/>
          <w:szCs w:val="32"/>
        </w:rPr>
        <w:t>2021</w:t>
      </w:r>
      <w:r>
        <w:rPr>
          <w:rFonts w:hint="eastAsia" w:ascii="仿宋_GB2312" w:hAnsi="宋体" w:eastAsia="仿宋_GB2312"/>
          <w:bCs/>
          <w:kern w:val="0"/>
          <w:sz w:val="32"/>
          <w:szCs w:val="32"/>
        </w:rPr>
        <w:t>年财政拨款收支预算情况的总体说明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eastAsia="zh-CN"/>
        </w:rPr>
        <w:t>克孜勒苏柯尔克孜自治州退役军人事务局</w:t>
      </w:r>
      <w:r>
        <w:rPr>
          <w:rFonts w:hint="eastAsia" w:ascii="仿宋_GB2312" w:hAnsi="宋体" w:eastAsia="仿宋_GB2312"/>
          <w:kern w:val="0"/>
          <w:sz w:val="32"/>
          <w:szCs w:val="32"/>
        </w:rPr>
        <w:t>2021年一般公共预算当年拨款情况说明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eastAsia="zh-CN"/>
        </w:rPr>
        <w:t>克孜勒苏柯尔克孜自治州退役军人事务局</w:t>
      </w:r>
      <w:r>
        <w:rPr>
          <w:rFonts w:hint="eastAsia" w:ascii="仿宋_GB2312" w:hAnsi="宋体" w:eastAsia="仿宋_GB2312"/>
          <w:kern w:val="0"/>
          <w:sz w:val="32"/>
          <w:szCs w:val="32"/>
        </w:rPr>
        <w:t>2021年一般公共预算基本支出情况说明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eastAsia="zh-CN"/>
        </w:rPr>
        <w:t>克孜勒苏柯尔克孜自治州退役军人事务局</w:t>
      </w:r>
      <w:r>
        <w:rPr>
          <w:rFonts w:hint="eastAsia" w:ascii="仿宋_GB2312" w:hAnsi="宋体" w:eastAsia="仿宋_GB2312"/>
          <w:kern w:val="0"/>
          <w:sz w:val="32"/>
          <w:szCs w:val="32"/>
        </w:rPr>
        <w:t>2021年一般公共预算项目支出情况说明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eastAsia="zh-CN"/>
        </w:rPr>
        <w:t>克孜勒苏柯尔克孜自治州退役军人事务局</w:t>
      </w:r>
      <w:r>
        <w:rPr>
          <w:rFonts w:hint="eastAsia" w:ascii="仿宋_GB2312" w:hAnsi="宋体" w:eastAsia="仿宋_GB2312"/>
          <w:kern w:val="0"/>
          <w:sz w:val="32"/>
          <w:szCs w:val="32"/>
        </w:rPr>
        <w:t>2021年一般公共预算“三公”经费预算情况说明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克孜勒苏柯尔克孜自治州退役军人事务局</w:t>
      </w:r>
      <w:r>
        <w:rPr>
          <w:rFonts w:hint="eastAsia" w:ascii="仿宋_GB2312" w:hAnsi="宋体" w:eastAsia="仿宋_GB2312"/>
          <w:kern w:val="0"/>
          <w:sz w:val="32"/>
          <w:szCs w:val="32"/>
        </w:rPr>
        <w:t>2021年政府性基金预算拨款情况说明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40" w:lineRule="exact"/>
        <w:ind w:firstLine="643" w:firstLineChars="200"/>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spacing w:line="440" w:lineRule="exact"/>
        <w:ind w:firstLine="643" w:firstLineChars="200"/>
        <w:outlineLvl w:val="1"/>
        <w:rPr>
          <w:rFonts w:hint="eastAsia" w:ascii="仿宋_GB2312" w:hAnsi="宋体" w:eastAsia="仿宋_GB2312"/>
          <w:b/>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eastAsia="zh-CN"/>
        </w:rPr>
        <w:t>克孜勒苏柯尔克孜自治州退役军人事务局</w:t>
      </w:r>
      <w:r>
        <w:rPr>
          <w:rFonts w:hint="eastAsia" w:ascii="黑体" w:hAnsi="黑体" w:eastAsia="黑体"/>
          <w:kern w:val="0"/>
          <w:sz w:val="32"/>
          <w:szCs w:val="32"/>
        </w:rPr>
        <w:t>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ind w:firstLine="640"/>
        <w:jc w:val="left"/>
        <w:rPr>
          <w:rFonts w:hint="default" w:ascii="仿宋_GB2312" w:hAnsi="黑体" w:eastAsia="仿宋_GB2312" w:cs="宋体"/>
          <w:bCs/>
          <w:kern w:val="0"/>
          <w:sz w:val="32"/>
          <w:szCs w:val="32"/>
          <w:lang w:val="en-US" w:eastAsia="zh-CN"/>
        </w:rPr>
      </w:pPr>
      <w:r>
        <w:rPr>
          <w:rFonts w:hint="eastAsia" w:ascii="仿宋_GB2312" w:hAnsi="黑体" w:eastAsia="仿宋_GB2312" w:cs="宋体"/>
          <w:bCs/>
          <w:kern w:val="0"/>
          <w:sz w:val="32"/>
          <w:szCs w:val="32"/>
        </w:rPr>
        <w:t>（一）</w:t>
      </w:r>
      <w:r>
        <w:rPr>
          <w:rFonts w:hint="eastAsia" w:ascii="仿宋_GB2312" w:hAnsi="黑体" w:eastAsia="仿宋_GB2312" w:cs="宋体"/>
          <w:bCs/>
          <w:kern w:val="0"/>
          <w:sz w:val="32"/>
          <w:szCs w:val="32"/>
          <w:lang w:val="en-US" w:eastAsia="zh-CN"/>
        </w:rPr>
        <w:t>贯彻落实</w:t>
      </w:r>
      <w:r>
        <w:rPr>
          <w:rFonts w:hint="eastAsia" w:ascii="仿宋_GB2312" w:hAnsi="黑体" w:eastAsia="仿宋_GB2312" w:cs="宋体"/>
          <w:bCs/>
          <w:kern w:val="0"/>
          <w:sz w:val="32"/>
          <w:szCs w:val="32"/>
        </w:rPr>
        <w:t>退役军人思想政治、管理保障</w:t>
      </w:r>
      <w:r>
        <w:rPr>
          <w:rFonts w:hint="eastAsia" w:ascii="仿宋_GB2312" w:hAnsi="黑体" w:eastAsia="仿宋_GB2312" w:cs="宋体"/>
          <w:bCs/>
          <w:kern w:val="0"/>
          <w:sz w:val="32"/>
          <w:szCs w:val="32"/>
          <w:lang w:val="en-US" w:eastAsia="zh-CN"/>
        </w:rPr>
        <w:t>和安置优抚</w:t>
      </w:r>
      <w:r>
        <w:rPr>
          <w:rFonts w:hint="eastAsia" w:ascii="仿宋_GB2312" w:hAnsi="黑体" w:eastAsia="仿宋_GB2312" w:cs="宋体"/>
          <w:bCs/>
          <w:kern w:val="0"/>
          <w:sz w:val="32"/>
          <w:szCs w:val="32"/>
        </w:rPr>
        <w:t>等工作政策</w:t>
      </w:r>
      <w:r>
        <w:rPr>
          <w:rFonts w:hint="eastAsia" w:ascii="仿宋_GB2312" w:hAnsi="黑体" w:eastAsia="仿宋_GB2312" w:cs="宋体"/>
          <w:bCs/>
          <w:kern w:val="0"/>
          <w:sz w:val="32"/>
          <w:szCs w:val="32"/>
          <w:lang w:val="en-US" w:eastAsia="zh-CN"/>
        </w:rPr>
        <w:t>法</w:t>
      </w:r>
      <w:r>
        <w:rPr>
          <w:rFonts w:hint="eastAsia" w:ascii="仿宋_GB2312" w:hAnsi="黑体" w:eastAsia="仿宋_GB2312" w:cs="宋体"/>
          <w:bCs/>
          <w:kern w:val="0"/>
          <w:sz w:val="32"/>
          <w:szCs w:val="32"/>
        </w:rPr>
        <w:t>规</w:t>
      </w:r>
      <w:r>
        <w:rPr>
          <w:rFonts w:hint="eastAsia" w:ascii="仿宋_GB2312" w:hAnsi="黑体" w:eastAsia="仿宋_GB2312" w:cs="宋体"/>
          <w:bCs/>
          <w:kern w:val="0"/>
          <w:sz w:val="32"/>
          <w:szCs w:val="32"/>
          <w:lang w:eastAsia="zh-CN"/>
        </w:rPr>
        <w:t>，</w:t>
      </w:r>
      <w:r>
        <w:rPr>
          <w:rFonts w:hint="eastAsia" w:ascii="仿宋_GB2312" w:hAnsi="黑体" w:eastAsia="仿宋_GB2312" w:cs="宋体"/>
          <w:bCs/>
          <w:kern w:val="0"/>
          <w:sz w:val="32"/>
          <w:szCs w:val="32"/>
        </w:rPr>
        <w:t>褒扬彰显退役军人为党、国家和人民牺牲奉献的精神风范和价值导向</w:t>
      </w:r>
      <w:r>
        <w:rPr>
          <w:rFonts w:hint="eastAsia" w:ascii="仿宋_GB2312" w:hAnsi="黑体" w:eastAsia="仿宋_GB2312" w:cs="宋体"/>
          <w:bCs/>
          <w:kern w:val="0"/>
          <w:sz w:val="32"/>
          <w:szCs w:val="32"/>
          <w:lang w:eastAsia="zh-CN"/>
        </w:rPr>
        <w:t>，</w:t>
      </w:r>
      <w:r>
        <w:rPr>
          <w:rFonts w:hint="eastAsia" w:ascii="仿宋_GB2312" w:hAnsi="黑体" w:eastAsia="仿宋_GB2312" w:cs="宋体"/>
          <w:bCs/>
          <w:kern w:val="0"/>
          <w:sz w:val="32"/>
          <w:szCs w:val="32"/>
          <w:lang w:val="en-US" w:eastAsia="zh-CN"/>
        </w:rPr>
        <w:t>发挥退役军人在自治州社会稳定和长治久安总目标的作用。</w:t>
      </w:r>
    </w:p>
    <w:p>
      <w:pPr>
        <w:widowControl/>
        <w:spacing w:line="560" w:lineRule="exact"/>
        <w:ind w:firstLine="640"/>
        <w:jc w:val="left"/>
        <w:rPr>
          <w:rFonts w:ascii="仿宋_GB2312" w:hAnsi="宋体" w:eastAsia="仿宋_GB2312" w:cs="宋体"/>
          <w:bCs/>
          <w:kern w:val="0"/>
          <w:sz w:val="32"/>
          <w:szCs w:val="32"/>
        </w:rPr>
      </w:pPr>
      <w:r>
        <w:rPr>
          <w:rFonts w:hint="eastAsia" w:ascii="仿宋_GB2312" w:hAnsi="宋体" w:eastAsia="仿宋_GB2312" w:cs="宋体"/>
          <w:bCs/>
          <w:kern w:val="0"/>
          <w:sz w:val="32"/>
          <w:szCs w:val="32"/>
        </w:rPr>
        <w:t>（二）负责军队转业干部、复员干部、</w:t>
      </w:r>
      <w:r>
        <w:rPr>
          <w:rFonts w:hint="eastAsia" w:ascii="仿宋_GB2312" w:hAnsi="宋体" w:eastAsia="仿宋_GB2312" w:cs="宋体"/>
          <w:bCs/>
          <w:kern w:val="0"/>
          <w:sz w:val="32"/>
          <w:szCs w:val="32"/>
          <w:lang w:val="en-US" w:eastAsia="zh-CN"/>
        </w:rPr>
        <w:t>离</w:t>
      </w:r>
      <w:r>
        <w:rPr>
          <w:rFonts w:hint="eastAsia" w:ascii="仿宋_GB2312" w:hAnsi="宋体" w:eastAsia="仿宋_GB2312" w:cs="宋体"/>
          <w:bCs/>
          <w:kern w:val="0"/>
          <w:sz w:val="32"/>
          <w:szCs w:val="32"/>
        </w:rPr>
        <w:t>退休干部、退役士兵</w:t>
      </w:r>
      <w:r>
        <w:rPr>
          <w:rFonts w:hint="eastAsia" w:ascii="仿宋_GB2312" w:hAnsi="宋体" w:eastAsia="仿宋_GB2312" w:cs="宋体"/>
          <w:bCs/>
          <w:kern w:val="0"/>
          <w:sz w:val="32"/>
          <w:szCs w:val="32"/>
          <w:lang w:val="en-US" w:eastAsia="zh-CN"/>
        </w:rPr>
        <w:t>和无军籍退休退职职工</w:t>
      </w:r>
      <w:r>
        <w:rPr>
          <w:rFonts w:hint="eastAsia" w:ascii="仿宋_GB2312" w:hAnsi="宋体" w:eastAsia="仿宋_GB2312" w:cs="宋体"/>
          <w:bCs/>
          <w:kern w:val="0"/>
          <w:sz w:val="32"/>
          <w:szCs w:val="32"/>
        </w:rPr>
        <w:t>的移交安置工作和自主择业</w:t>
      </w:r>
      <w:r>
        <w:rPr>
          <w:rFonts w:hint="eastAsia" w:ascii="仿宋_GB2312" w:hAnsi="宋体" w:eastAsia="仿宋_GB2312" w:cs="宋体"/>
          <w:bCs/>
          <w:kern w:val="0"/>
          <w:sz w:val="32"/>
          <w:szCs w:val="32"/>
          <w:lang w:eastAsia="zh-CN"/>
        </w:rPr>
        <w:t>、</w:t>
      </w:r>
      <w:r>
        <w:rPr>
          <w:rFonts w:hint="eastAsia" w:ascii="仿宋_GB2312" w:hAnsi="宋体" w:eastAsia="仿宋_GB2312" w:cs="宋体"/>
          <w:bCs/>
          <w:kern w:val="0"/>
          <w:sz w:val="32"/>
          <w:szCs w:val="32"/>
          <w:lang w:val="en-US" w:eastAsia="zh-CN"/>
        </w:rPr>
        <w:t>就业</w:t>
      </w:r>
      <w:r>
        <w:rPr>
          <w:rFonts w:hint="eastAsia" w:ascii="仿宋_GB2312" w:hAnsi="宋体" w:eastAsia="仿宋_GB2312" w:cs="宋体"/>
          <w:bCs/>
          <w:kern w:val="0"/>
          <w:sz w:val="32"/>
          <w:szCs w:val="32"/>
        </w:rPr>
        <w:t>退役军人服务管理</w:t>
      </w:r>
      <w:r>
        <w:rPr>
          <w:rFonts w:hint="eastAsia" w:ascii="仿宋_GB2312" w:hAnsi="宋体" w:eastAsia="仿宋_GB2312" w:cs="宋体"/>
          <w:bCs/>
          <w:kern w:val="0"/>
          <w:sz w:val="32"/>
          <w:szCs w:val="32"/>
          <w:lang w:val="en-US" w:eastAsia="zh-CN"/>
        </w:rPr>
        <w:t>工作。</w:t>
      </w:r>
    </w:p>
    <w:p>
      <w:pPr>
        <w:widowControl/>
        <w:spacing w:line="560" w:lineRule="exact"/>
        <w:ind w:firstLine="640"/>
        <w:jc w:val="left"/>
        <w:rPr>
          <w:rFonts w:hint="eastAsia" w:ascii="仿宋_GB2312" w:hAnsi="宋体" w:eastAsia="仿宋_GB2312" w:cs="宋体"/>
          <w:bCs/>
          <w:kern w:val="0"/>
          <w:sz w:val="32"/>
          <w:szCs w:val="32"/>
          <w:lang w:eastAsia="zh-CN"/>
        </w:rPr>
      </w:pPr>
      <w:r>
        <w:rPr>
          <w:rFonts w:hint="eastAsia" w:ascii="仿宋_GB2312" w:hAnsi="宋体" w:eastAsia="仿宋_GB2312" w:cs="宋体"/>
          <w:bCs/>
          <w:kern w:val="0"/>
          <w:sz w:val="32"/>
          <w:szCs w:val="32"/>
        </w:rPr>
        <w:t>（三）组织</w:t>
      </w:r>
      <w:r>
        <w:rPr>
          <w:rFonts w:hint="eastAsia" w:ascii="仿宋_GB2312" w:hAnsi="宋体" w:eastAsia="仿宋_GB2312" w:cs="宋体"/>
          <w:bCs/>
          <w:kern w:val="0"/>
          <w:sz w:val="32"/>
          <w:szCs w:val="32"/>
          <w:lang w:val="en-US" w:eastAsia="zh-CN"/>
        </w:rPr>
        <w:t>指导</w:t>
      </w:r>
      <w:r>
        <w:rPr>
          <w:rFonts w:hint="eastAsia" w:ascii="仿宋_GB2312" w:hAnsi="宋体" w:eastAsia="仿宋_GB2312" w:cs="宋体"/>
          <w:bCs/>
          <w:kern w:val="0"/>
          <w:sz w:val="32"/>
          <w:szCs w:val="32"/>
        </w:rPr>
        <w:t>退役军人教育培训</w:t>
      </w:r>
      <w:r>
        <w:rPr>
          <w:rFonts w:hint="eastAsia" w:ascii="仿宋_GB2312" w:hAnsi="宋体" w:eastAsia="仿宋_GB2312" w:cs="宋体"/>
          <w:bCs/>
          <w:kern w:val="0"/>
          <w:sz w:val="32"/>
          <w:szCs w:val="32"/>
          <w:lang w:val="en-US" w:eastAsia="zh-CN"/>
        </w:rPr>
        <w:t>工作；协调扶持退役军人和随军随调家属就业创业</w:t>
      </w:r>
      <w:r>
        <w:rPr>
          <w:rFonts w:hint="eastAsia" w:ascii="仿宋_GB2312" w:hAnsi="宋体" w:eastAsia="仿宋_GB2312" w:cs="宋体"/>
          <w:bCs/>
          <w:kern w:val="0"/>
          <w:sz w:val="32"/>
          <w:szCs w:val="32"/>
          <w:lang w:eastAsia="zh-CN"/>
        </w:rPr>
        <w:t>。</w:t>
      </w:r>
    </w:p>
    <w:p>
      <w:pPr>
        <w:widowControl/>
        <w:spacing w:line="560" w:lineRule="exact"/>
        <w:ind w:firstLine="640"/>
        <w:jc w:val="left"/>
        <w:rPr>
          <w:rFonts w:hint="default" w:ascii="仿宋_GB2312" w:hAnsi="宋体" w:eastAsia="仿宋_GB2312" w:cs="宋体"/>
          <w:bCs/>
          <w:kern w:val="0"/>
          <w:sz w:val="32"/>
          <w:szCs w:val="32"/>
          <w:lang w:val="en-US" w:eastAsia="zh-CN"/>
        </w:rPr>
      </w:pPr>
      <w:r>
        <w:rPr>
          <w:rFonts w:hint="eastAsia" w:ascii="仿宋_GB2312" w:hAnsi="宋体" w:eastAsia="仿宋_GB2312" w:cs="宋体"/>
          <w:bCs/>
          <w:kern w:val="0"/>
          <w:sz w:val="32"/>
          <w:szCs w:val="32"/>
        </w:rPr>
        <w:t>（四）</w:t>
      </w:r>
      <w:r>
        <w:rPr>
          <w:rFonts w:hint="eastAsia" w:ascii="仿宋_GB2312" w:hAnsi="宋体" w:eastAsia="仿宋_GB2312" w:cs="宋体"/>
          <w:bCs/>
          <w:kern w:val="0"/>
          <w:sz w:val="32"/>
          <w:szCs w:val="32"/>
          <w:lang w:val="en-US" w:eastAsia="zh-CN"/>
        </w:rPr>
        <w:t>组织指导伤病残退役军人服务管理，拟定落实有关退役军人医疗、疗养、养老等机构的规划政策并指导实施；承担不适宜继续服役的伤病残军人相关工作；指导军供服务保障工作。</w:t>
      </w:r>
    </w:p>
    <w:p>
      <w:pPr>
        <w:widowControl/>
        <w:spacing w:line="560" w:lineRule="exact"/>
        <w:ind w:firstLine="640"/>
        <w:jc w:val="left"/>
        <w:rPr>
          <w:rFonts w:ascii="仿宋_GB2312" w:hAnsi="宋体" w:eastAsia="仿宋_GB2312" w:cs="宋体"/>
          <w:bCs/>
          <w:kern w:val="0"/>
          <w:sz w:val="32"/>
          <w:szCs w:val="32"/>
        </w:rPr>
      </w:pPr>
      <w:r>
        <w:rPr>
          <w:rFonts w:hint="eastAsia" w:ascii="仿宋_GB2312" w:hAnsi="宋体" w:eastAsia="仿宋_GB2312" w:cs="宋体"/>
          <w:bCs/>
          <w:kern w:val="0"/>
          <w:sz w:val="32"/>
          <w:szCs w:val="32"/>
        </w:rPr>
        <w:t>（五）</w:t>
      </w:r>
      <w:r>
        <w:rPr>
          <w:rFonts w:hint="eastAsia" w:ascii="仿宋_GB2312" w:hAnsi="宋体" w:eastAsia="仿宋_GB2312" w:cs="宋体"/>
          <w:bCs/>
          <w:kern w:val="0"/>
          <w:sz w:val="32"/>
          <w:szCs w:val="32"/>
          <w:lang w:val="en-US" w:eastAsia="zh-CN"/>
        </w:rPr>
        <w:t>负责烈士及退役军人荣誉奖励、军人公墓管理维护、纪念活动等工作；审核拟列入全国和自治区、自治州重点保护单位的烈士纪念建筑物名录；总结表彰和宣扬退役军人、退役军人工作单位和个人先进典型事迹</w:t>
      </w:r>
      <w:r>
        <w:rPr>
          <w:rFonts w:hint="eastAsia" w:ascii="仿宋_GB2312" w:hAnsi="宋体" w:eastAsia="仿宋_GB2312" w:cs="宋体"/>
          <w:bCs/>
          <w:kern w:val="0"/>
          <w:sz w:val="32"/>
          <w:szCs w:val="32"/>
        </w:rPr>
        <w:t>。</w:t>
      </w:r>
    </w:p>
    <w:p>
      <w:pPr>
        <w:widowControl/>
        <w:spacing w:line="560" w:lineRule="exact"/>
        <w:ind w:firstLine="630"/>
        <w:jc w:val="left"/>
        <w:rPr>
          <w:rFonts w:hint="eastAsia" w:ascii="仿宋_GB2312" w:hAnsi="宋体" w:eastAsia="仿宋_GB2312" w:cs="宋体"/>
          <w:kern w:val="0"/>
          <w:sz w:val="32"/>
          <w:szCs w:val="32"/>
        </w:rPr>
      </w:pPr>
      <w:r>
        <w:rPr>
          <w:rFonts w:hint="eastAsia" w:ascii="黑体" w:hAnsi="黑体" w:eastAsia="黑体" w:cs="宋体"/>
          <w:bCs/>
          <w:kern w:val="0"/>
          <w:sz w:val="32"/>
          <w:szCs w:val="32"/>
        </w:rPr>
        <w:t>二、机构设置及人员情况</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克孜勒苏柯尔克孜自治州退役军人事务局</w:t>
      </w:r>
      <w:r>
        <w:rPr>
          <w:rFonts w:hint="eastAsia" w:ascii="仿宋_GB2312" w:hAnsi="宋体" w:eastAsia="仿宋_GB2312" w:cs="宋体"/>
          <w:kern w:val="0"/>
          <w:sz w:val="32"/>
          <w:szCs w:val="32"/>
        </w:rPr>
        <w:t>无下属预算单位，下设</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个内设</w:t>
      </w:r>
      <w:r>
        <w:rPr>
          <w:rFonts w:hint="eastAsia" w:ascii="仿宋_GB2312" w:hAnsi="宋体" w:eastAsia="仿宋_GB2312" w:cs="宋体"/>
          <w:kern w:val="0"/>
          <w:sz w:val="32"/>
          <w:szCs w:val="32"/>
          <w:lang w:eastAsia="zh-CN"/>
        </w:rPr>
        <w:t>科室，</w:t>
      </w:r>
      <w:r>
        <w:rPr>
          <w:rFonts w:hint="eastAsia" w:ascii="仿宋_GB2312" w:hAnsi="宋体" w:eastAsia="仿宋_GB2312" w:cs="宋体"/>
          <w:kern w:val="0"/>
          <w:sz w:val="32"/>
          <w:szCs w:val="32"/>
        </w:rPr>
        <w:t>分别是：办公室、</w:t>
      </w:r>
      <w:r>
        <w:rPr>
          <w:rFonts w:hint="eastAsia" w:ascii="仿宋_GB2312" w:hAnsi="宋体" w:eastAsia="仿宋_GB2312" w:cs="宋体"/>
          <w:kern w:val="0"/>
          <w:sz w:val="32"/>
          <w:szCs w:val="32"/>
          <w:lang w:val="en-US" w:eastAsia="zh-CN"/>
        </w:rPr>
        <w:t>拥军优抚</w:t>
      </w:r>
      <w:r>
        <w:rPr>
          <w:rFonts w:hint="eastAsia" w:ascii="仿宋_GB2312" w:hAnsi="宋体" w:eastAsia="仿宋_GB2312" w:cs="宋体"/>
          <w:kern w:val="0"/>
          <w:sz w:val="32"/>
          <w:szCs w:val="32"/>
        </w:rPr>
        <w:t>科</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安置就业科</w:t>
      </w:r>
      <w:r>
        <w:rPr>
          <w:rFonts w:hint="eastAsia" w:ascii="仿宋_GB2312" w:hAnsi="宋体" w:eastAsia="仿宋_GB2312" w:cs="宋体"/>
          <w:kern w:val="0"/>
          <w:sz w:val="32"/>
          <w:szCs w:val="32"/>
        </w:rPr>
        <w:t>。</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克孜勒苏柯尔克孜自治州退役军人事务局</w:t>
      </w:r>
      <w:r>
        <w:rPr>
          <w:rFonts w:hint="eastAsia" w:ascii="仿宋_GB2312" w:hAnsi="宋体" w:eastAsia="仿宋_GB2312" w:cs="宋体"/>
          <w:kern w:val="0"/>
          <w:sz w:val="32"/>
          <w:szCs w:val="32"/>
        </w:rPr>
        <w:t>编制数11，实有人数</w:t>
      </w:r>
      <w:r>
        <w:rPr>
          <w:rFonts w:hint="eastAsia" w:ascii="仿宋_GB2312" w:hAnsi="宋体" w:eastAsia="仿宋_GB2312" w:cs="宋体"/>
          <w:kern w:val="0"/>
          <w:sz w:val="32"/>
          <w:szCs w:val="32"/>
          <w:lang w:val="en-US" w:eastAsia="zh-CN"/>
        </w:rPr>
        <w:t>54</w:t>
      </w:r>
      <w:r>
        <w:rPr>
          <w:rFonts w:hint="eastAsia" w:ascii="仿宋_GB2312" w:hAnsi="宋体" w:eastAsia="仿宋_GB2312" w:cs="宋体"/>
          <w:kern w:val="0"/>
          <w:sz w:val="32"/>
          <w:szCs w:val="32"/>
        </w:rPr>
        <w:t>人，其中：在职9人；增加0人；退休4</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人，增加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人；离休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w:t>
      </w:r>
    </w:p>
    <w:p>
      <w:pPr>
        <w:widowControl/>
        <w:spacing w:line="560" w:lineRule="exact"/>
        <w:jc w:val="left"/>
        <w:rPr>
          <w:rFonts w:hint="eastAsia" w:ascii="仿宋_GB2312" w:hAnsi="宋体" w:eastAsia="仿宋_GB2312" w:cs="宋体"/>
          <w:kern w:val="0"/>
          <w:sz w:val="32"/>
          <w:szCs w:val="32"/>
        </w:rPr>
      </w:pPr>
    </w:p>
    <w:p>
      <w:pPr>
        <w:widowControl/>
        <w:spacing w:line="560" w:lineRule="exact"/>
        <w:ind w:firstLine="640" w:firstLineChars="200"/>
        <w:jc w:val="left"/>
        <w:rPr>
          <w:rFonts w:hint="eastAsia" w:ascii="仿宋_GB2312" w:hAnsi="宋体" w:eastAsia="仿宋_GB2312" w:cs="宋体"/>
          <w:kern w:val="0"/>
          <w:sz w:val="32"/>
          <w:szCs w:val="32"/>
        </w:rPr>
      </w:pPr>
    </w:p>
    <w:p>
      <w:pPr>
        <w:widowControl/>
        <w:spacing w:line="560" w:lineRule="exact"/>
        <w:ind w:firstLine="640" w:firstLineChars="200"/>
        <w:jc w:val="left"/>
        <w:rPr>
          <w:rFonts w:hint="eastAsia" w:ascii="仿宋_GB2312" w:hAnsi="宋体" w:eastAsia="仿宋_GB2312" w:cs="宋体"/>
          <w:kern w:val="0"/>
          <w:sz w:val="32"/>
          <w:szCs w:val="32"/>
        </w:rPr>
      </w:pPr>
    </w:p>
    <w:p>
      <w:pPr>
        <w:widowControl/>
        <w:spacing w:line="560" w:lineRule="exact"/>
        <w:ind w:firstLine="640" w:firstLineChars="200"/>
        <w:jc w:val="left"/>
        <w:rPr>
          <w:rFonts w:hint="eastAsia" w:ascii="仿宋_GB2312" w:hAnsi="宋体" w:eastAsia="仿宋_GB2312" w:cs="宋体"/>
          <w:kern w:val="0"/>
          <w:sz w:val="32"/>
          <w:szCs w:val="32"/>
        </w:rPr>
      </w:pPr>
    </w:p>
    <w:p>
      <w:pPr>
        <w:widowControl/>
        <w:spacing w:line="560" w:lineRule="exact"/>
        <w:ind w:firstLine="640" w:firstLineChars="200"/>
        <w:jc w:val="left"/>
        <w:rPr>
          <w:rFonts w:hint="eastAsia" w:ascii="仿宋_GB2312" w:hAnsi="宋体" w:eastAsia="仿宋_GB2312" w:cs="宋体"/>
          <w:kern w:val="0"/>
          <w:sz w:val="32"/>
          <w:szCs w:val="32"/>
        </w:rPr>
      </w:pPr>
    </w:p>
    <w:p>
      <w:pPr>
        <w:widowControl/>
        <w:spacing w:line="560" w:lineRule="exact"/>
        <w:ind w:firstLine="640" w:firstLineChars="200"/>
        <w:jc w:val="left"/>
        <w:rPr>
          <w:rFonts w:hint="eastAsia" w:ascii="仿宋_GB2312" w:hAnsi="宋体" w:eastAsia="仿宋_GB2312" w:cs="宋体"/>
          <w:kern w:val="0"/>
          <w:sz w:val="32"/>
          <w:szCs w:val="32"/>
        </w:rPr>
      </w:pPr>
    </w:p>
    <w:p>
      <w:pPr>
        <w:widowControl/>
        <w:spacing w:line="560" w:lineRule="exact"/>
        <w:ind w:firstLine="640" w:firstLineChars="200"/>
        <w:jc w:val="left"/>
        <w:rPr>
          <w:rFonts w:hint="eastAsia" w:ascii="仿宋_GB2312" w:hAnsi="宋体" w:eastAsia="仿宋_GB2312" w:cs="宋体"/>
          <w:kern w:val="0"/>
          <w:sz w:val="32"/>
          <w:szCs w:val="32"/>
        </w:rPr>
      </w:pPr>
    </w:p>
    <w:p>
      <w:pPr>
        <w:widowControl/>
        <w:spacing w:line="560" w:lineRule="exact"/>
        <w:ind w:firstLine="640" w:firstLineChars="200"/>
        <w:jc w:val="left"/>
        <w:rPr>
          <w:rFonts w:hint="eastAsia" w:ascii="仿宋_GB2312" w:hAnsi="宋体" w:eastAsia="仿宋_GB2312" w:cs="宋体"/>
          <w:kern w:val="0"/>
          <w:sz w:val="32"/>
          <w:szCs w:val="32"/>
        </w:rPr>
      </w:pPr>
    </w:p>
    <w:p>
      <w:pPr>
        <w:widowControl/>
        <w:spacing w:line="560" w:lineRule="exact"/>
        <w:ind w:firstLine="640" w:firstLineChars="200"/>
        <w:jc w:val="left"/>
        <w:rPr>
          <w:rFonts w:hint="eastAsia" w:ascii="仿宋_GB2312" w:hAnsi="宋体" w:eastAsia="仿宋_GB2312" w:cs="宋体"/>
          <w:kern w:val="0"/>
          <w:sz w:val="32"/>
          <w:szCs w:val="32"/>
        </w:rPr>
      </w:pPr>
    </w:p>
    <w:p>
      <w:pPr>
        <w:widowControl/>
        <w:spacing w:line="560" w:lineRule="exact"/>
        <w:ind w:firstLine="640" w:firstLineChars="200"/>
        <w:jc w:val="left"/>
        <w:rPr>
          <w:rFonts w:hint="eastAsia" w:ascii="仿宋_GB2312" w:hAnsi="宋体" w:eastAsia="仿宋_GB2312" w:cs="宋体"/>
          <w:kern w:val="0"/>
          <w:sz w:val="32"/>
          <w:szCs w:val="32"/>
        </w:rPr>
      </w:pPr>
    </w:p>
    <w:p>
      <w:pPr>
        <w:widowControl/>
        <w:spacing w:line="560" w:lineRule="exact"/>
        <w:ind w:firstLine="640" w:firstLineChars="200"/>
        <w:jc w:val="left"/>
        <w:rPr>
          <w:rFonts w:hint="eastAsia" w:ascii="仿宋_GB2312" w:hAnsi="宋体" w:eastAsia="仿宋_GB2312" w:cs="宋体"/>
          <w:kern w:val="0"/>
          <w:sz w:val="32"/>
          <w:szCs w:val="32"/>
        </w:rPr>
      </w:pPr>
    </w:p>
    <w:p>
      <w:pPr>
        <w:widowControl/>
        <w:spacing w:line="560" w:lineRule="exact"/>
        <w:ind w:firstLine="640" w:firstLineChars="200"/>
        <w:jc w:val="left"/>
        <w:rPr>
          <w:rFonts w:hint="eastAsia" w:ascii="仿宋_GB2312" w:hAnsi="宋体" w:eastAsia="仿宋_GB2312" w:cs="宋体"/>
          <w:kern w:val="0"/>
          <w:sz w:val="32"/>
          <w:szCs w:val="32"/>
        </w:rPr>
      </w:pPr>
    </w:p>
    <w:p>
      <w:pPr>
        <w:widowControl/>
        <w:spacing w:line="560" w:lineRule="exact"/>
        <w:ind w:firstLine="640" w:firstLineChars="200"/>
        <w:jc w:val="left"/>
        <w:rPr>
          <w:rFonts w:hint="eastAsia" w:ascii="仿宋_GB2312" w:hAnsi="宋体" w:eastAsia="仿宋_GB2312" w:cs="宋体"/>
          <w:kern w:val="0"/>
          <w:sz w:val="32"/>
          <w:szCs w:val="32"/>
        </w:rPr>
      </w:pPr>
    </w:p>
    <w:p>
      <w:pPr>
        <w:widowControl/>
        <w:spacing w:line="560" w:lineRule="exact"/>
        <w:ind w:firstLine="640" w:firstLineChars="200"/>
        <w:jc w:val="left"/>
        <w:rPr>
          <w:rFonts w:hint="eastAsia" w:ascii="仿宋_GB2312" w:hAnsi="宋体" w:eastAsia="仿宋_GB2312" w:cs="宋体"/>
          <w:kern w:val="0"/>
          <w:sz w:val="32"/>
          <w:szCs w:val="32"/>
        </w:rPr>
      </w:pPr>
    </w:p>
    <w:p>
      <w:pPr>
        <w:widowControl/>
        <w:spacing w:line="560" w:lineRule="exact"/>
        <w:ind w:firstLine="640" w:firstLineChars="200"/>
        <w:jc w:val="left"/>
        <w:rPr>
          <w:rFonts w:hint="eastAsia" w:ascii="仿宋_GB2312" w:hAnsi="宋体" w:eastAsia="仿宋_GB2312" w:cs="宋体"/>
          <w:kern w:val="0"/>
          <w:sz w:val="32"/>
          <w:szCs w:val="32"/>
        </w:rPr>
      </w:pPr>
    </w:p>
    <w:p>
      <w:pPr>
        <w:widowControl/>
        <w:spacing w:line="560" w:lineRule="exact"/>
        <w:ind w:firstLine="640" w:firstLineChars="200"/>
        <w:jc w:val="left"/>
        <w:rPr>
          <w:rFonts w:hint="eastAsia" w:ascii="仿宋_GB2312" w:hAnsi="宋体" w:eastAsia="仿宋_GB2312" w:cs="宋体"/>
          <w:kern w:val="0"/>
          <w:sz w:val="32"/>
          <w:szCs w:val="32"/>
        </w:rPr>
      </w:pPr>
    </w:p>
    <w:p>
      <w:pPr>
        <w:widowControl/>
        <w:spacing w:line="560" w:lineRule="exact"/>
        <w:jc w:val="left"/>
        <w:rPr>
          <w:rFonts w:hint="eastAsia" w:ascii="仿宋_GB2312" w:hAnsi="宋体" w:eastAsia="仿宋_GB2312" w:cs="宋体"/>
          <w:kern w:val="0"/>
          <w:sz w:val="32"/>
          <w:szCs w:val="32"/>
        </w:rPr>
      </w:pPr>
    </w:p>
    <w:p>
      <w:pPr>
        <w:widowControl/>
        <w:spacing w:line="560" w:lineRule="exact"/>
        <w:jc w:val="left"/>
        <w:rPr>
          <w:rFonts w:hint="eastAsia" w:ascii="仿宋_GB2312" w:hAnsi="宋体" w:eastAsia="仿宋_GB2312" w:cs="宋体"/>
          <w:kern w:val="0"/>
          <w:sz w:val="32"/>
          <w:szCs w:val="32"/>
        </w:rPr>
      </w:pPr>
    </w:p>
    <w:p>
      <w:pPr>
        <w:widowControl/>
        <w:spacing w:line="560" w:lineRule="exact"/>
        <w:jc w:val="left"/>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300" w:lineRule="exact"/>
        <w:ind w:firstLine="640" w:firstLineChars="200"/>
        <w:jc w:val="left"/>
        <w:textAlignment w:val="auto"/>
        <w:rPr>
          <w:rFonts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1"/>
        <w:rPr>
          <w:rFonts w:hint="eastAsia" w:ascii="仿宋_GB2312" w:hAnsi="宋体" w:eastAsia="仿宋_GB2312"/>
          <w:b/>
          <w:kern w:val="0"/>
          <w:sz w:val="32"/>
          <w:szCs w:val="32"/>
        </w:rPr>
      </w:pPr>
      <w:r>
        <w:rPr>
          <w:rFonts w:hint="eastAsia" w:ascii="黑体" w:hAnsi="黑体" w:eastAsia="黑体"/>
          <w:kern w:val="0"/>
          <w:sz w:val="32"/>
          <w:szCs w:val="32"/>
        </w:rPr>
        <w:t>第二部分  2021年</w:t>
      </w:r>
      <w:r>
        <w:rPr>
          <w:rFonts w:hint="eastAsia" w:ascii="黑体" w:hAnsi="黑体" w:eastAsia="黑体"/>
          <w:kern w:val="0"/>
          <w:sz w:val="32"/>
          <w:szCs w:val="32"/>
          <w:lang w:eastAsia="zh-CN"/>
        </w:rPr>
        <w:t>部门（单位）</w:t>
      </w:r>
      <w:r>
        <w:rPr>
          <w:rFonts w:hint="eastAsia" w:ascii="黑体" w:hAnsi="黑体" w:eastAsia="黑体"/>
          <w:kern w:val="0"/>
          <w:sz w:val="32"/>
          <w:szCs w:val="32"/>
        </w:rPr>
        <w:t>预算公开表</w:t>
      </w:r>
    </w:p>
    <w:p>
      <w:pPr>
        <w:keepNext w:val="0"/>
        <w:keepLines w:val="0"/>
        <w:pageBreakBefore w:val="0"/>
        <w:widowControl/>
        <w:kinsoku/>
        <w:wordWrap/>
        <w:overflowPunct/>
        <w:topLinePunct w:val="0"/>
        <w:autoSpaceDE/>
        <w:autoSpaceDN/>
        <w:bidi w:val="0"/>
        <w:adjustRightInd/>
        <w:snapToGrid/>
        <w:spacing w:line="300" w:lineRule="exact"/>
        <w:textAlignment w:val="auto"/>
        <w:outlineLvl w:val="1"/>
        <w:rPr>
          <w:rFonts w:hint="eastAsia" w:ascii="仿宋_GB2312" w:hAnsi="宋体" w:eastAsia="仿宋_GB2312"/>
          <w:b/>
          <w:kern w:val="0"/>
          <w:sz w:val="32"/>
          <w:szCs w:val="32"/>
        </w:rPr>
      </w:pPr>
    </w:p>
    <w:p>
      <w:pPr>
        <w:keepNext w:val="0"/>
        <w:keepLines w:val="0"/>
        <w:pageBreakBefore w:val="0"/>
        <w:widowControl/>
        <w:kinsoku/>
        <w:wordWrap/>
        <w:overflowPunct/>
        <w:topLinePunct w:val="0"/>
        <w:autoSpaceDE/>
        <w:autoSpaceDN/>
        <w:bidi w:val="0"/>
        <w:adjustRightInd/>
        <w:snapToGrid/>
        <w:spacing w:line="300" w:lineRule="exact"/>
        <w:textAlignment w:val="auto"/>
        <w:outlineLvl w:val="1"/>
        <w:rPr>
          <w:rFonts w:hint="eastAsia" w:ascii="仿宋_GB2312" w:hAnsi="宋体" w:eastAsia="仿宋_GB2312"/>
          <w:b/>
          <w:kern w:val="0"/>
          <w:sz w:val="32"/>
          <w:szCs w:val="32"/>
        </w:rPr>
      </w:pPr>
    </w:p>
    <w:p>
      <w:pPr>
        <w:keepNext w:val="0"/>
        <w:keepLines w:val="0"/>
        <w:pageBreakBefore w:val="0"/>
        <w:widowControl/>
        <w:kinsoku/>
        <w:wordWrap/>
        <w:overflowPunct/>
        <w:topLinePunct w:val="0"/>
        <w:autoSpaceDE/>
        <w:autoSpaceDN/>
        <w:bidi w:val="0"/>
        <w:adjustRightInd/>
        <w:snapToGrid/>
        <w:spacing w:line="300" w:lineRule="exact"/>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部门（单位）收支总体情况表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仿宋_GB2312" w:hAnsi="宋体" w:eastAsia="仿宋_GB2312"/>
          <w:kern w:val="0"/>
          <w:sz w:val="24"/>
          <w:lang w:eastAsia="zh-CN"/>
        </w:rPr>
        <w:t>克孜勒苏柯尔克孜自治州退役军人事务局</w:t>
      </w:r>
      <w:r>
        <w:rPr>
          <w:rFonts w:hint="eastAsia" w:ascii="仿宋_GB2312" w:hAnsi="宋体" w:eastAsia="仿宋_GB2312"/>
          <w:kern w:val="0"/>
          <w:sz w:val="24"/>
        </w:rPr>
        <w:t xml:space="preserve">      单位：万元      </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000000" w:sz="4" w:space="0"/>
            </w:tcBorders>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847.38</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847.38</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highlight w:val="none"/>
              </w:rPr>
              <w:t>国有资本</w:t>
            </w:r>
            <w:r>
              <w:rPr>
                <w:rFonts w:ascii="仿宋_GB2312" w:hAnsi="宋体" w:eastAsia="仿宋_GB2312" w:cs="宋体"/>
                <w:kern w:val="0"/>
                <w:sz w:val="18"/>
                <w:szCs w:val="18"/>
                <w:highlight w:val="none"/>
              </w:rPr>
              <w:t>经营预算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hint="eastAsia"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hint="eastAsia"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939.58</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单位其他资金收入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45"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22 </w:t>
            </w:r>
            <w:r>
              <w:rPr>
                <w:rFonts w:hint="eastAsia" w:ascii="仿宋_GB2312" w:hAnsi="宋体" w:eastAsia="仿宋_GB2312" w:cs="宋体"/>
                <w:kern w:val="0"/>
                <w:sz w:val="18"/>
                <w:szCs w:val="18"/>
              </w:rPr>
              <w:t>粮油</w:t>
            </w:r>
            <w:r>
              <w:rPr>
                <w:rFonts w:ascii="仿宋_GB2312" w:hAnsi="宋体" w:eastAsia="仿宋_GB2312" w:cs="宋体"/>
                <w:kern w:val="0"/>
                <w:sz w:val="18"/>
                <w:szCs w:val="18"/>
              </w:rPr>
              <w:t>物资管理支出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textAlignment w:val="center"/>
              <w:rPr>
                <w:rFonts w:ascii="仿宋_GB2312" w:hAnsi="宋体" w:eastAsia="仿宋_GB2312" w:cs="宋体"/>
                <w:kern w:val="0"/>
                <w:sz w:val="18"/>
                <w:szCs w:val="18"/>
              </w:rPr>
            </w:pPr>
            <w:r>
              <w:rPr>
                <w:rFonts w:hint="eastAsia" w:ascii="仿宋_GB2312" w:hAnsi="宋体" w:eastAsia="仿宋_GB2312" w:cs="宋体"/>
                <w:color w:val="000000"/>
                <w:kern w:val="0"/>
                <w:sz w:val="18"/>
                <w:szCs w:val="18"/>
              </w:rPr>
              <w:t>234 抗疫特别国债还本支出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20"/>
                <w:szCs w:val="20"/>
              </w:rPr>
            </w:pP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single" w:color="auto" w:sz="4" w:space="0"/>
            </w:tcBorders>
            <w:vAlign w:val="center"/>
          </w:tcPr>
          <w:p>
            <w:pPr>
              <w:widowControl/>
              <w:spacing w:line="280" w:lineRule="exact"/>
              <w:jc w:val="left"/>
              <w:textAlignment w:val="center"/>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65" w:hRule="atLeas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939.58</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939.58</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部门（单位）收入总体情况表</w:t>
      </w:r>
    </w:p>
    <w:p>
      <w:pPr>
        <w:widowControl/>
        <w:jc w:val="left"/>
        <w:outlineLvl w:val="1"/>
        <w:rPr>
          <w:rFonts w:hint="eastAsia" w:ascii="仿宋_GB2312" w:hAnsi="宋体" w:eastAsia="仿宋_GB2312"/>
          <w:kern w:val="0"/>
          <w:sz w:val="24"/>
          <w:lang w:eastAsia="zh-CN"/>
        </w:rPr>
      </w:pPr>
      <w:r>
        <w:rPr>
          <w:rFonts w:hint="eastAsia" w:ascii="仿宋_GB2312" w:hAnsi="宋体" w:eastAsia="仿宋_GB2312"/>
          <w:kern w:val="0"/>
          <w:sz w:val="24"/>
        </w:rPr>
        <w:t>编制部门（单位）：</w:t>
      </w:r>
      <w:r>
        <w:rPr>
          <w:rFonts w:hint="eastAsia" w:ascii="仿宋_GB2312" w:hAnsi="宋体" w:eastAsia="仿宋_GB2312"/>
          <w:kern w:val="0"/>
          <w:sz w:val="24"/>
          <w:lang w:eastAsia="zh-CN"/>
        </w:rPr>
        <w:t>克孜勒苏柯尔克孜自治州退役军人事务局</w:t>
      </w:r>
      <w:r>
        <w:rPr>
          <w:rFonts w:hint="eastAsia" w:ascii="仿宋_GB2312" w:hAnsi="宋体" w:eastAsia="仿宋_GB2312"/>
          <w:kern w:val="0"/>
          <w:sz w:val="24"/>
        </w:rPr>
        <w:t xml:space="preserve">          单位：万</w:t>
      </w:r>
      <w:r>
        <w:rPr>
          <w:rFonts w:hint="eastAsia" w:ascii="仿宋_GB2312" w:hAnsi="宋体" w:eastAsia="仿宋_GB2312"/>
          <w:kern w:val="0"/>
          <w:sz w:val="24"/>
          <w:lang w:eastAsia="zh-CN"/>
        </w:rPr>
        <w:t>元</w:t>
      </w:r>
    </w:p>
    <w:tbl>
      <w:tblPr>
        <w:tblStyle w:val="7"/>
        <w:tblW w:w="9833" w:type="dxa"/>
        <w:tblInd w:w="-450" w:type="dxa"/>
        <w:tblLayout w:type="fixed"/>
        <w:tblCellMar>
          <w:top w:w="0" w:type="dxa"/>
          <w:left w:w="108" w:type="dxa"/>
          <w:bottom w:w="0" w:type="dxa"/>
          <w:right w:w="108" w:type="dxa"/>
        </w:tblCellMar>
      </w:tblPr>
      <w:tblGrid>
        <w:gridCol w:w="477"/>
        <w:gridCol w:w="364"/>
        <w:gridCol w:w="363"/>
        <w:gridCol w:w="1101"/>
        <w:gridCol w:w="1024"/>
        <w:gridCol w:w="742"/>
        <w:gridCol w:w="538"/>
        <w:gridCol w:w="724"/>
        <w:gridCol w:w="690"/>
        <w:gridCol w:w="465"/>
        <w:gridCol w:w="405"/>
        <w:gridCol w:w="495"/>
        <w:gridCol w:w="435"/>
        <w:gridCol w:w="450"/>
        <w:gridCol w:w="690"/>
        <w:gridCol w:w="870"/>
      </w:tblGrid>
      <w:tr>
        <w:tblPrEx>
          <w:tblLayout w:type="fixed"/>
          <w:tblCellMar>
            <w:top w:w="0" w:type="dxa"/>
            <w:left w:w="108" w:type="dxa"/>
            <w:bottom w:w="0" w:type="dxa"/>
            <w:right w:w="108" w:type="dxa"/>
          </w:tblCellMar>
        </w:tblPrEx>
        <w:trPr>
          <w:trHeight w:val="2671" w:hRule="atLeast"/>
        </w:trPr>
        <w:tc>
          <w:tcPr>
            <w:tcW w:w="12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101"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1024"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742"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538"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724"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财政专户（教育收费）</w:t>
            </w:r>
          </w:p>
        </w:tc>
        <w:tc>
          <w:tcPr>
            <w:tcW w:w="690" w:type="dxa"/>
            <w:tcBorders>
              <w:top w:val="single" w:color="auto" w:sz="4" w:space="0"/>
              <w:left w:val="single" w:color="auto" w:sz="4" w:space="0"/>
              <w:bottom w:val="single" w:color="000000" w:sz="4" w:space="0"/>
              <w:right w:val="single" w:color="auto" w:sz="4" w:space="0"/>
            </w:tcBorders>
            <w:vAlign w:val="center"/>
          </w:tcPr>
          <w:p>
            <w:pPr>
              <w:jc w:val="center"/>
              <w:rPr>
                <w:rFonts w:hint="eastAsia" w:ascii="仿宋_GB2312" w:eastAsia="仿宋_GB2312"/>
                <w:b/>
                <w:color w:val="000000"/>
                <w:sz w:val="20"/>
                <w:szCs w:val="20"/>
              </w:rPr>
            </w:pPr>
            <w:r>
              <w:rPr>
                <w:rFonts w:hint="eastAsia" w:ascii="仿宋_GB2312" w:eastAsia="仿宋_GB2312"/>
                <w:b/>
                <w:color w:val="000000"/>
                <w:sz w:val="20"/>
                <w:szCs w:val="20"/>
                <w:highlight w:val="none"/>
              </w:rPr>
              <w:t>国有资本</w:t>
            </w:r>
            <w:r>
              <w:rPr>
                <w:rFonts w:ascii="仿宋_GB2312" w:eastAsia="仿宋_GB2312"/>
                <w:b/>
                <w:color w:val="000000"/>
                <w:sz w:val="20"/>
                <w:szCs w:val="20"/>
                <w:highlight w:val="none"/>
              </w:rPr>
              <w:t>经营预算</w:t>
            </w:r>
          </w:p>
        </w:tc>
        <w:tc>
          <w:tcPr>
            <w:tcW w:w="46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405" w:type="dxa"/>
            <w:tcBorders>
              <w:top w:val="single" w:color="auto" w:sz="4" w:space="0"/>
              <w:left w:val="single" w:color="auto" w:sz="4" w:space="0"/>
              <w:bottom w:val="single" w:color="000000"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w:t>
            </w:r>
          </w:p>
          <w:p>
            <w:pPr>
              <w:rPr>
                <w:rFonts w:ascii="仿宋_GB2312" w:eastAsia="仿宋_GB2312"/>
                <w:b/>
                <w:color w:val="000000"/>
                <w:sz w:val="20"/>
                <w:szCs w:val="20"/>
              </w:rPr>
            </w:pPr>
            <w:r>
              <w:rPr>
                <w:rFonts w:hint="eastAsia" w:ascii="仿宋_GB2312" w:eastAsia="仿宋_GB2312"/>
                <w:b/>
                <w:color w:val="000000"/>
                <w:sz w:val="20"/>
                <w:szCs w:val="20"/>
              </w:rPr>
              <w:t>级</w:t>
            </w:r>
          </w:p>
          <w:p>
            <w:pPr>
              <w:rPr>
                <w:rFonts w:ascii="仿宋_GB2312" w:eastAsia="仿宋_GB2312"/>
                <w:b/>
                <w:color w:val="000000"/>
                <w:sz w:val="20"/>
                <w:szCs w:val="20"/>
              </w:rPr>
            </w:pPr>
            <w:r>
              <w:rPr>
                <w:rFonts w:hint="eastAsia" w:ascii="仿宋_GB2312" w:eastAsia="仿宋_GB2312"/>
                <w:b/>
                <w:color w:val="000000"/>
                <w:sz w:val="20"/>
                <w:szCs w:val="20"/>
              </w:rPr>
              <w:t>补助</w:t>
            </w:r>
          </w:p>
          <w:p>
            <w:pPr>
              <w:rPr>
                <w:rFonts w:ascii="仿宋_GB2312" w:eastAsia="仿宋_GB2312"/>
                <w:b/>
                <w:color w:val="000000"/>
                <w:sz w:val="20"/>
                <w:szCs w:val="20"/>
              </w:rPr>
            </w:pPr>
            <w:r>
              <w:rPr>
                <w:rFonts w:hint="eastAsia" w:ascii="仿宋_GB2312" w:eastAsia="仿宋_GB2312"/>
                <w:b/>
                <w:color w:val="000000"/>
                <w:sz w:val="20"/>
                <w:szCs w:val="20"/>
              </w:rPr>
              <w:t>收</w:t>
            </w:r>
          </w:p>
          <w:p>
            <w:pPr>
              <w:rPr>
                <w:rFonts w:ascii="仿宋_GB2312" w:eastAsia="仿宋_GB2312"/>
                <w:b/>
                <w:color w:val="000000"/>
                <w:sz w:val="20"/>
                <w:szCs w:val="20"/>
              </w:rPr>
            </w:pPr>
            <w:r>
              <w:rPr>
                <w:rFonts w:hint="eastAsia" w:ascii="仿宋_GB2312" w:eastAsia="仿宋_GB2312"/>
                <w:b/>
                <w:color w:val="000000"/>
                <w:sz w:val="20"/>
                <w:szCs w:val="20"/>
              </w:rPr>
              <w:t>入</w:t>
            </w:r>
          </w:p>
        </w:tc>
        <w:tc>
          <w:tcPr>
            <w:tcW w:w="49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43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单位其他资金收入</w:t>
            </w:r>
          </w:p>
        </w:tc>
        <w:tc>
          <w:tcPr>
            <w:tcW w:w="450"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上级专项收入</w:t>
            </w:r>
          </w:p>
        </w:tc>
        <w:tc>
          <w:tcPr>
            <w:tcW w:w="690"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用事业基金弥补收支差额</w:t>
            </w:r>
          </w:p>
        </w:tc>
        <w:tc>
          <w:tcPr>
            <w:tcW w:w="870" w:type="dxa"/>
            <w:tcBorders>
              <w:top w:val="single" w:color="auto" w:sz="4" w:space="0"/>
              <w:left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单位上年结余（不包含国库集中支付额度</w:t>
            </w:r>
          </w:p>
        </w:tc>
      </w:tr>
      <w:tr>
        <w:tblPrEx>
          <w:tblLayout w:type="fixed"/>
          <w:tblCellMar>
            <w:top w:w="0" w:type="dxa"/>
            <w:left w:w="108" w:type="dxa"/>
            <w:bottom w:w="0" w:type="dxa"/>
            <w:right w:w="108" w:type="dxa"/>
          </w:tblCellMar>
        </w:tblPrEx>
        <w:trPr>
          <w:trHeight w:val="465" w:hRule="atLeast"/>
        </w:trPr>
        <w:tc>
          <w:tcPr>
            <w:tcW w:w="477" w:type="dxa"/>
            <w:tcBorders>
              <w:top w:val="nil"/>
              <w:left w:val="single" w:color="auto" w:sz="4" w:space="0"/>
              <w:bottom w:val="single" w:color="auto" w:sz="4" w:space="0"/>
              <w:right w:val="single" w:color="auto" w:sz="4" w:space="0"/>
            </w:tcBorders>
            <w:vAlign w:val="center"/>
          </w:tcPr>
          <w:p>
            <w:pPr>
              <w:ind w:right="80"/>
              <w:jc w:val="right"/>
              <w:rPr>
                <w:rFonts w:ascii="仿宋_GB2312" w:hAnsi="宋体" w:eastAsia="仿宋_GB2312" w:cs="宋体"/>
                <w:color w:val="000000"/>
                <w:sz w:val="16"/>
                <w:szCs w:val="16"/>
              </w:rPr>
            </w:pPr>
            <w:r>
              <w:rPr>
                <w:rFonts w:hint="eastAsia" w:ascii="仿宋_GB2312" w:eastAsia="仿宋_GB2312"/>
                <w:color w:val="000000"/>
                <w:sz w:val="16"/>
                <w:szCs w:val="16"/>
              </w:rPr>
              <w:t>208</w:t>
            </w:r>
          </w:p>
        </w:tc>
        <w:tc>
          <w:tcPr>
            <w:tcW w:w="364" w:type="dxa"/>
            <w:tcBorders>
              <w:top w:val="nil"/>
              <w:left w:val="nil"/>
              <w:bottom w:val="single" w:color="auto" w:sz="4" w:space="0"/>
              <w:right w:val="single" w:color="auto" w:sz="4" w:space="0"/>
            </w:tcBorders>
            <w:vAlign w:val="center"/>
          </w:tcPr>
          <w:p>
            <w:pPr>
              <w:wordWrap w:val="0"/>
              <w:ind w:right="200"/>
              <w:jc w:val="right"/>
              <w:rPr>
                <w:rFonts w:ascii="仿宋_GB2312" w:hAnsi="宋体" w:eastAsia="仿宋_GB2312" w:cs="宋体"/>
                <w:color w:val="000000"/>
                <w:sz w:val="16"/>
                <w:szCs w:val="16"/>
              </w:rPr>
            </w:pPr>
            <w:r>
              <w:rPr>
                <w:rFonts w:hint="eastAsia" w:ascii="仿宋_GB2312" w:eastAsia="仿宋_GB2312"/>
                <w:color w:val="000000"/>
                <w:sz w:val="16"/>
                <w:szCs w:val="16"/>
              </w:rPr>
              <w:t>09</w:t>
            </w:r>
          </w:p>
        </w:tc>
        <w:tc>
          <w:tcPr>
            <w:tcW w:w="36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05　</w:t>
            </w:r>
          </w:p>
        </w:tc>
        <w:tc>
          <w:tcPr>
            <w:tcW w:w="110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16"/>
                <w:szCs w:val="16"/>
              </w:rPr>
            </w:pPr>
            <w:r>
              <w:rPr>
                <w:rFonts w:hint="eastAsia" w:ascii="仿宋_GB2312" w:hAnsi="宋体" w:eastAsia="仿宋_GB2312" w:cs="宋体"/>
                <w:color w:val="000000"/>
                <w:sz w:val="16"/>
                <w:szCs w:val="16"/>
              </w:rPr>
              <w:t>军队转业干部安置</w:t>
            </w:r>
          </w:p>
        </w:tc>
        <w:tc>
          <w:tcPr>
            <w:tcW w:w="1024" w:type="dxa"/>
            <w:tcBorders>
              <w:top w:val="nil"/>
              <w:left w:val="nil"/>
              <w:bottom w:val="single" w:color="auto" w:sz="4" w:space="0"/>
              <w:right w:val="single" w:color="auto" w:sz="4" w:space="0"/>
            </w:tcBorders>
            <w:vAlign w:val="center"/>
          </w:tcPr>
          <w:p>
            <w:pPr>
              <w:ind w:right="100"/>
              <w:jc w:val="right"/>
              <w:rPr>
                <w:rFonts w:ascii="仿宋_GB2312" w:hAnsi="宋体" w:eastAsia="仿宋_GB2312" w:cs="宋体"/>
                <w:color w:val="000000"/>
                <w:sz w:val="20"/>
                <w:szCs w:val="20"/>
              </w:rPr>
            </w:pPr>
            <w:r>
              <w:rPr>
                <w:rFonts w:hint="eastAsia" w:ascii="仿宋_GB2312" w:eastAsia="仿宋_GB2312"/>
                <w:color w:val="000000"/>
                <w:sz w:val="20"/>
                <w:szCs w:val="20"/>
              </w:rPr>
              <w:t>10.15</w:t>
            </w:r>
          </w:p>
        </w:tc>
        <w:tc>
          <w:tcPr>
            <w:tcW w:w="742" w:type="dxa"/>
            <w:tcBorders>
              <w:top w:val="nil"/>
              <w:left w:val="nil"/>
              <w:bottom w:val="single" w:color="auto" w:sz="4" w:space="0"/>
              <w:right w:val="single" w:color="auto" w:sz="4" w:space="0"/>
            </w:tcBorders>
            <w:vAlign w:val="center"/>
          </w:tcPr>
          <w:p>
            <w:pPr>
              <w:wordWrap w:val="0"/>
              <w:ind w:right="100"/>
              <w:jc w:val="right"/>
              <w:rPr>
                <w:rFonts w:ascii="仿宋_GB2312" w:hAnsi="宋体" w:eastAsia="仿宋_GB2312" w:cs="宋体"/>
                <w:color w:val="000000"/>
                <w:sz w:val="20"/>
                <w:szCs w:val="20"/>
              </w:rPr>
            </w:pPr>
          </w:p>
        </w:tc>
        <w:tc>
          <w:tcPr>
            <w:tcW w:w="53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6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5" w:type="dxa"/>
            <w:tcBorders>
              <w:top w:val="nil"/>
              <w:left w:val="nil"/>
              <w:bottom w:val="single" w:color="auto" w:sz="4" w:space="0"/>
              <w:right w:val="nil"/>
            </w:tcBorders>
          </w:tcPr>
          <w:p>
            <w:pPr>
              <w:jc w:val="right"/>
              <w:rPr>
                <w:rFonts w:ascii="仿宋_GB2312" w:eastAsia="仿宋_GB2312"/>
                <w:color w:val="000000"/>
                <w:sz w:val="20"/>
                <w:szCs w:val="20"/>
              </w:rPr>
            </w:pPr>
          </w:p>
        </w:tc>
        <w:tc>
          <w:tcPr>
            <w:tcW w:w="4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9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70" w:type="dxa"/>
            <w:tcBorders>
              <w:top w:val="nil"/>
              <w:left w:val="nil"/>
              <w:bottom w:val="single" w:color="auto" w:sz="4" w:space="0"/>
              <w:right w:val="single" w:color="auto" w:sz="4" w:space="0"/>
            </w:tcBorders>
            <w:vAlign w:val="center"/>
          </w:tcPr>
          <w:p>
            <w:pPr>
              <w:jc w:val="center"/>
              <w:rPr>
                <w:rFonts w:ascii="仿宋_GB2312" w:eastAsia="仿宋_GB2312"/>
                <w:color w:val="000000"/>
                <w:sz w:val="16"/>
                <w:szCs w:val="16"/>
              </w:rPr>
            </w:pPr>
            <w:r>
              <w:rPr>
                <w:rFonts w:hint="eastAsia" w:ascii="仿宋_GB2312" w:eastAsia="仿宋_GB2312"/>
                <w:color w:val="000000"/>
                <w:sz w:val="16"/>
                <w:szCs w:val="16"/>
              </w:rPr>
              <w:t>10.15</w:t>
            </w:r>
          </w:p>
        </w:tc>
      </w:tr>
      <w:tr>
        <w:tblPrEx>
          <w:tblLayout w:type="fixed"/>
          <w:tblCellMar>
            <w:top w:w="0" w:type="dxa"/>
            <w:left w:w="108" w:type="dxa"/>
            <w:bottom w:w="0" w:type="dxa"/>
            <w:right w:w="108" w:type="dxa"/>
          </w:tblCellMar>
        </w:tblPrEx>
        <w:trPr>
          <w:trHeight w:val="909" w:hRule="atLeast"/>
        </w:trPr>
        <w:tc>
          <w:tcPr>
            <w:tcW w:w="477" w:type="dxa"/>
            <w:tcBorders>
              <w:top w:val="nil"/>
              <w:left w:val="single" w:color="auto" w:sz="4" w:space="0"/>
              <w:bottom w:val="single" w:color="auto" w:sz="4" w:space="0"/>
              <w:right w:val="single" w:color="auto" w:sz="4" w:space="0"/>
            </w:tcBorders>
            <w:vAlign w:val="center"/>
          </w:tcPr>
          <w:p>
            <w:pPr>
              <w:wordWrap/>
              <w:ind w:right="200" w:rightChars="0"/>
              <w:jc w:val="left"/>
              <w:rPr>
                <w:rFonts w:hint="default" w:ascii="仿宋_GB2312" w:hAnsi="宋体" w:eastAsia="仿宋_GB2312" w:cs="宋体"/>
                <w:color w:val="000000"/>
                <w:sz w:val="16"/>
                <w:szCs w:val="16"/>
                <w:lang w:val="en-US" w:eastAsia="zh-CN"/>
              </w:rPr>
            </w:pPr>
            <w:r>
              <w:rPr>
                <w:rFonts w:hint="eastAsia" w:ascii="仿宋_GB2312" w:eastAsia="仿宋_GB2312"/>
                <w:color w:val="000000"/>
                <w:sz w:val="20"/>
                <w:szCs w:val="20"/>
              </w:rPr>
              <w:t>208</w:t>
            </w:r>
          </w:p>
        </w:tc>
        <w:tc>
          <w:tcPr>
            <w:tcW w:w="36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08　</w:t>
            </w:r>
          </w:p>
        </w:tc>
        <w:tc>
          <w:tcPr>
            <w:tcW w:w="36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02　</w:t>
            </w:r>
          </w:p>
        </w:tc>
        <w:tc>
          <w:tcPr>
            <w:tcW w:w="1101"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hAnsi="宋体" w:eastAsia="仿宋_GB2312" w:cs="宋体"/>
                <w:color w:val="000000"/>
                <w:sz w:val="20"/>
                <w:szCs w:val="20"/>
              </w:rPr>
              <w:t>伤残抚恤</w:t>
            </w:r>
          </w:p>
        </w:tc>
        <w:tc>
          <w:tcPr>
            <w:tcW w:w="1024"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2.81</w:t>
            </w:r>
          </w:p>
        </w:tc>
        <w:tc>
          <w:tcPr>
            <w:tcW w:w="74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3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6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5" w:type="dxa"/>
            <w:tcBorders>
              <w:top w:val="nil"/>
              <w:left w:val="nil"/>
              <w:bottom w:val="single" w:color="auto" w:sz="4" w:space="0"/>
              <w:right w:val="nil"/>
            </w:tcBorders>
          </w:tcPr>
          <w:p>
            <w:pPr>
              <w:jc w:val="right"/>
              <w:rPr>
                <w:rFonts w:ascii="仿宋_GB2312" w:eastAsia="仿宋_GB2312"/>
                <w:color w:val="000000"/>
                <w:sz w:val="20"/>
                <w:szCs w:val="20"/>
              </w:rPr>
            </w:pPr>
          </w:p>
        </w:tc>
        <w:tc>
          <w:tcPr>
            <w:tcW w:w="4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9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70"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2.81</w:t>
            </w:r>
          </w:p>
        </w:tc>
      </w:tr>
      <w:tr>
        <w:tblPrEx>
          <w:tblLayout w:type="fixed"/>
          <w:tblCellMar>
            <w:top w:w="0" w:type="dxa"/>
            <w:left w:w="108" w:type="dxa"/>
            <w:bottom w:w="0" w:type="dxa"/>
            <w:right w:w="108" w:type="dxa"/>
          </w:tblCellMar>
        </w:tblPrEx>
        <w:trPr>
          <w:trHeight w:val="465" w:hRule="atLeast"/>
        </w:trPr>
        <w:tc>
          <w:tcPr>
            <w:tcW w:w="477"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208　</w:t>
            </w:r>
          </w:p>
        </w:tc>
        <w:tc>
          <w:tcPr>
            <w:tcW w:w="36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28　</w:t>
            </w:r>
          </w:p>
        </w:tc>
        <w:tc>
          <w:tcPr>
            <w:tcW w:w="36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01　</w:t>
            </w:r>
          </w:p>
        </w:tc>
        <w:tc>
          <w:tcPr>
            <w:tcW w:w="1101"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hAnsi="宋体" w:eastAsia="仿宋_GB2312" w:cs="宋体"/>
                <w:color w:val="000000"/>
                <w:sz w:val="20"/>
                <w:szCs w:val="20"/>
              </w:rPr>
              <w:t>行政运行</w:t>
            </w:r>
          </w:p>
        </w:tc>
        <w:tc>
          <w:tcPr>
            <w:tcW w:w="1024"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835.34</w:t>
            </w:r>
          </w:p>
        </w:tc>
        <w:tc>
          <w:tcPr>
            <w:tcW w:w="742" w:type="dxa"/>
            <w:tcBorders>
              <w:top w:val="nil"/>
              <w:left w:val="nil"/>
              <w:bottom w:val="single" w:color="auto" w:sz="4" w:space="0"/>
              <w:right w:val="single" w:color="auto" w:sz="4" w:space="0"/>
            </w:tcBorders>
            <w:vAlign w:val="center"/>
          </w:tcPr>
          <w:p>
            <w:pPr>
              <w:ind w:right="100"/>
              <w:jc w:val="center"/>
              <w:rPr>
                <w:rFonts w:ascii="仿宋_GB2312" w:hAnsi="宋体" w:eastAsia="仿宋_GB2312" w:cs="宋体"/>
                <w:color w:val="000000"/>
                <w:sz w:val="16"/>
                <w:szCs w:val="16"/>
              </w:rPr>
            </w:pPr>
            <w:r>
              <w:rPr>
                <w:rFonts w:hint="eastAsia" w:ascii="仿宋_GB2312" w:eastAsia="仿宋_GB2312"/>
                <w:color w:val="000000"/>
                <w:sz w:val="16"/>
                <w:szCs w:val="16"/>
              </w:rPr>
              <w:t>835.43</w:t>
            </w:r>
          </w:p>
        </w:tc>
        <w:tc>
          <w:tcPr>
            <w:tcW w:w="53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6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5" w:type="dxa"/>
            <w:tcBorders>
              <w:top w:val="nil"/>
              <w:left w:val="nil"/>
              <w:bottom w:val="single" w:color="auto" w:sz="4" w:space="0"/>
              <w:right w:val="nil"/>
            </w:tcBorders>
          </w:tcPr>
          <w:p>
            <w:pPr>
              <w:jc w:val="right"/>
              <w:rPr>
                <w:rFonts w:ascii="仿宋_GB2312" w:eastAsia="仿宋_GB2312"/>
                <w:color w:val="000000"/>
                <w:sz w:val="20"/>
                <w:szCs w:val="20"/>
              </w:rPr>
            </w:pPr>
          </w:p>
        </w:tc>
        <w:tc>
          <w:tcPr>
            <w:tcW w:w="4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9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70"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477"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208　</w:t>
            </w:r>
          </w:p>
        </w:tc>
        <w:tc>
          <w:tcPr>
            <w:tcW w:w="36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28　</w:t>
            </w:r>
          </w:p>
        </w:tc>
        <w:tc>
          <w:tcPr>
            <w:tcW w:w="36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99　</w:t>
            </w:r>
          </w:p>
        </w:tc>
        <w:tc>
          <w:tcPr>
            <w:tcW w:w="1101"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6"/>
                <w:szCs w:val="16"/>
              </w:rPr>
            </w:pPr>
            <w:r>
              <w:rPr>
                <w:rFonts w:hint="eastAsia" w:ascii="仿宋_GB2312" w:hAnsi="宋体" w:eastAsia="仿宋_GB2312" w:cs="宋体"/>
                <w:color w:val="000000"/>
                <w:sz w:val="16"/>
                <w:szCs w:val="16"/>
              </w:rPr>
              <w:t>其他退役军人事务管理支出</w:t>
            </w:r>
          </w:p>
        </w:tc>
        <w:tc>
          <w:tcPr>
            <w:tcW w:w="1024"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56.14</w:t>
            </w:r>
          </w:p>
        </w:tc>
        <w:tc>
          <w:tcPr>
            <w:tcW w:w="74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12.04</w:t>
            </w:r>
          </w:p>
        </w:tc>
        <w:tc>
          <w:tcPr>
            <w:tcW w:w="53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6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5" w:type="dxa"/>
            <w:tcBorders>
              <w:top w:val="nil"/>
              <w:left w:val="nil"/>
              <w:bottom w:val="single" w:color="auto" w:sz="4" w:space="0"/>
              <w:right w:val="nil"/>
            </w:tcBorders>
          </w:tcPr>
          <w:p>
            <w:pPr>
              <w:jc w:val="right"/>
              <w:rPr>
                <w:rFonts w:ascii="仿宋_GB2312" w:eastAsia="仿宋_GB2312"/>
                <w:color w:val="000000"/>
                <w:sz w:val="20"/>
                <w:szCs w:val="20"/>
              </w:rPr>
            </w:pPr>
          </w:p>
        </w:tc>
        <w:tc>
          <w:tcPr>
            <w:tcW w:w="4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9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70"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44.1</w:t>
            </w:r>
          </w:p>
        </w:tc>
      </w:tr>
      <w:tr>
        <w:tblPrEx>
          <w:tblLayout w:type="fixed"/>
          <w:tblCellMar>
            <w:top w:w="0" w:type="dxa"/>
            <w:left w:w="108" w:type="dxa"/>
            <w:bottom w:w="0" w:type="dxa"/>
            <w:right w:w="108" w:type="dxa"/>
          </w:tblCellMar>
        </w:tblPrEx>
        <w:trPr>
          <w:trHeight w:val="465" w:hRule="atLeast"/>
        </w:trPr>
        <w:tc>
          <w:tcPr>
            <w:tcW w:w="477"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208　</w:t>
            </w:r>
          </w:p>
        </w:tc>
        <w:tc>
          <w:tcPr>
            <w:tcW w:w="36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09　</w:t>
            </w:r>
          </w:p>
        </w:tc>
        <w:tc>
          <w:tcPr>
            <w:tcW w:w="36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01　</w:t>
            </w:r>
          </w:p>
        </w:tc>
        <w:tc>
          <w:tcPr>
            <w:tcW w:w="1101"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6"/>
                <w:szCs w:val="16"/>
              </w:rPr>
            </w:pPr>
            <w:r>
              <w:rPr>
                <w:rFonts w:hint="eastAsia" w:ascii="仿宋_GB2312" w:hAnsi="宋体" w:eastAsia="仿宋_GB2312" w:cs="宋体"/>
                <w:color w:val="000000"/>
                <w:sz w:val="16"/>
                <w:szCs w:val="16"/>
              </w:rPr>
              <w:t>退役士兵安置</w:t>
            </w:r>
          </w:p>
        </w:tc>
        <w:tc>
          <w:tcPr>
            <w:tcW w:w="1024"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5.05</w:t>
            </w:r>
          </w:p>
        </w:tc>
        <w:tc>
          <w:tcPr>
            <w:tcW w:w="74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3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6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5" w:type="dxa"/>
            <w:tcBorders>
              <w:top w:val="nil"/>
              <w:left w:val="nil"/>
              <w:bottom w:val="single" w:color="auto" w:sz="4" w:space="0"/>
              <w:right w:val="nil"/>
            </w:tcBorders>
          </w:tcPr>
          <w:p>
            <w:pPr>
              <w:jc w:val="right"/>
              <w:rPr>
                <w:rFonts w:ascii="仿宋_GB2312" w:eastAsia="仿宋_GB2312"/>
                <w:color w:val="000000"/>
                <w:sz w:val="20"/>
                <w:szCs w:val="20"/>
              </w:rPr>
            </w:pPr>
          </w:p>
        </w:tc>
        <w:tc>
          <w:tcPr>
            <w:tcW w:w="4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9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70"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5.05</w:t>
            </w:r>
          </w:p>
        </w:tc>
      </w:tr>
      <w:tr>
        <w:tblPrEx>
          <w:tblLayout w:type="fixed"/>
          <w:tblCellMar>
            <w:top w:w="0" w:type="dxa"/>
            <w:left w:w="108" w:type="dxa"/>
            <w:bottom w:w="0" w:type="dxa"/>
            <w:right w:w="108" w:type="dxa"/>
          </w:tblCellMar>
        </w:tblPrEx>
        <w:trPr>
          <w:trHeight w:val="465" w:hRule="atLeast"/>
        </w:trPr>
        <w:tc>
          <w:tcPr>
            <w:tcW w:w="477"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208　</w:t>
            </w:r>
          </w:p>
        </w:tc>
        <w:tc>
          <w:tcPr>
            <w:tcW w:w="36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09　</w:t>
            </w:r>
          </w:p>
        </w:tc>
        <w:tc>
          <w:tcPr>
            <w:tcW w:w="36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99　</w:t>
            </w:r>
          </w:p>
        </w:tc>
        <w:tc>
          <w:tcPr>
            <w:tcW w:w="1101"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6"/>
                <w:szCs w:val="16"/>
              </w:rPr>
            </w:pPr>
            <w:r>
              <w:rPr>
                <w:rFonts w:hint="eastAsia" w:ascii="仿宋_GB2312" w:hAnsi="宋体" w:eastAsia="仿宋_GB2312" w:cs="宋体"/>
                <w:color w:val="000000"/>
                <w:sz w:val="16"/>
                <w:szCs w:val="16"/>
              </w:rPr>
              <w:t>其他退役安置支出</w:t>
            </w:r>
          </w:p>
        </w:tc>
        <w:tc>
          <w:tcPr>
            <w:tcW w:w="1024"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30.09</w:t>
            </w:r>
          </w:p>
        </w:tc>
        <w:tc>
          <w:tcPr>
            <w:tcW w:w="74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3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6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5" w:type="dxa"/>
            <w:tcBorders>
              <w:top w:val="nil"/>
              <w:left w:val="nil"/>
              <w:bottom w:val="single" w:color="auto" w:sz="4" w:space="0"/>
              <w:right w:val="nil"/>
            </w:tcBorders>
          </w:tcPr>
          <w:p>
            <w:pPr>
              <w:jc w:val="right"/>
              <w:rPr>
                <w:rFonts w:ascii="仿宋_GB2312" w:eastAsia="仿宋_GB2312"/>
                <w:color w:val="000000"/>
                <w:sz w:val="20"/>
                <w:szCs w:val="20"/>
              </w:rPr>
            </w:pPr>
          </w:p>
        </w:tc>
        <w:tc>
          <w:tcPr>
            <w:tcW w:w="4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9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70"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30.09</w:t>
            </w:r>
          </w:p>
        </w:tc>
      </w:tr>
      <w:tr>
        <w:tblPrEx>
          <w:tblLayout w:type="fixed"/>
          <w:tblCellMar>
            <w:top w:w="0" w:type="dxa"/>
            <w:left w:w="108" w:type="dxa"/>
            <w:bottom w:w="0" w:type="dxa"/>
            <w:right w:w="108" w:type="dxa"/>
          </w:tblCellMar>
        </w:tblPrEx>
        <w:trPr>
          <w:trHeight w:val="465" w:hRule="atLeast"/>
        </w:trPr>
        <w:tc>
          <w:tcPr>
            <w:tcW w:w="477"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1"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6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5" w:type="dxa"/>
            <w:tcBorders>
              <w:top w:val="nil"/>
              <w:left w:val="nil"/>
              <w:bottom w:val="single" w:color="auto" w:sz="4" w:space="0"/>
              <w:right w:val="nil"/>
            </w:tcBorders>
          </w:tcPr>
          <w:p>
            <w:pPr>
              <w:jc w:val="right"/>
              <w:rPr>
                <w:rFonts w:ascii="仿宋_GB2312" w:eastAsia="仿宋_GB2312"/>
                <w:color w:val="000000"/>
                <w:sz w:val="20"/>
                <w:szCs w:val="20"/>
              </w:rPr>
            </w:pPr>
          </w:p>
        </w:tc>
        <w:tc>
          <w:tcPr>
            <w:tcW w:w="4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9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7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477"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1"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6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5" w:type="dxa"/>
            <w:tcBorders>
              <w:top w:val="nil"/>
              <w:left w:val="nil"/>
              <w:bottom w:val="single" w:color="auto" w:sz="4" w:space="0"/>
              <w:right w:val="nil"/>
            </w:tcBorders>
          </w:tcPr>
          <w:p>
            <w:pPr>
              <w:jc w:val="right"/>
              <w:rPr>
                <w:rFonts w:ascii="仿宋_GB2312" w:eastAsia="仿宋_GB2312"/>
                <w:color w:val="000000"/>
                <w:sz w:val="20"/>
                <w:szCs w:val="20"/>
              </w:rPr>
            </w:pPr>
          </w:p>
        </w:tc>
        <w:tc>
          <w:tcPr>
            <w:tcW w:w="4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9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7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477"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1"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6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5" w:type="dxa"/>
            <w:tcBorders>
              <w:top w:val="nil"/>
              <w:left w:val="nil"/>
              <w:bottom w:val="single" w:color="auto" w:sz="4" w:space="0"/>
              <w:right w:val="nil"/>
            </w:tcBorders>
          </w:tcPr>
          <w:p>
            <w:pPr>
              <w:jc w:val="right"/>
              <w:rPr>
                <w:rFonts w:ascii="仿宋_GB2312" w:eastAsia="仿宋_GB2312"/>
                <w:color w:val="000000"/>
                <w:sz w:val="20"/>
                <w:szCs w:val="20"/>
              </w:rPr>
            </w:pPr>
          </w:p>
        </w:tc>
        <w:tc>
          <w:tcPr>
            <w:tcW w:w="4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9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7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477" w:type="dxa"/>
            <w:tcBorders>
              <w:top w:val="nil"/>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364"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363"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1101" w:type="dxa"/>
            <w:tcBorders>
              <w:top w:val="nil"/>
              <w:left w:val="nil"/>
              <w:bottom w:val="single" w:color="auto" w:sz="4" w:space="0"/>
              <w:right w:val="single" w:color="auto" w:sz="4" w:space="0"/>
            </w:tcBorders>
            <w:vAlign w:val="center"/>
          </w:tcPr>
          <w:p>
            <w:pPr>
              <w:rPr>
                <w:rFonts w:hint="eastAsia" w:ascii="仿宋_GB2312" w:eastAsia="仿宋_GB2312"/>
                <w:color w:val="000000"/>
                <w:sz w:val="20"/>
                <w:szCs w:val="20"/>
              </w:rPr>
            </w:pPr>
          </w:p>
        </w:tc>
        <w:tc>
          <w:tcPr>
            <w:tcW w:w="1024"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742"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38"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724"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69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65"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05" w:type="dxa"/>
            <w:tcBorders>
              <w:top w:val="nil"/>
              <w:left w:val="nil"/>
              <w:bottom w:val="single" w:color="auto" w:sz="4" w:space="0"/>
              <w:right w:val="nil"/>
            </w:tcBorders>
          </w:tcPr>
          <w:p>
            <w:pPr>
              <w:jc w:val="right"/>
              <w:rPr>
                <w:rFonts w:ascii="仿宋_GB2312" w:eastAsia="仿宋_GB2312"/>
                <w:color w:val="000000"/>
                <w:sz w:val="20"/>
                <w:szCs w:val="20"/>
              </w:rPr>
            </w:pPr>
          </w:p>
        </w:tc>
        <w:tc>
          <w:tcPr>
            <w:tcW w:w="495"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35"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9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7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477" w:type="dxa"/>
            <w:tcBorders>
              <w:top w:val="nil"/>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364"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363"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1101" w:type="dxa"/>
            <w:tcBorders>
              <w:top w:val="nil"/>
              <w:left w:val="nil"/>
              <w:bottom w:val="single" w:color="auto" w:sz="4" w:space="0"/>
              <w:right w:val="single" w:color="auto" w:sz="4" w:space="0"/>
            </w:tcBorders>
            <w:vAlign w:val="center"/>
          </w:tcPr>
          <w:p>
            <w:pPr>
              <w:rPr>
                <w:rFonts w:hint="eastAsia" w:ascii="仿宋_GB2312" w:eastAsia="仿宋_GB2312"/>
                <w:color w:val="000000"/>
                <w:sz w:val="20"/>
                <w:szCs w:val="20"/>
              </w:rPr>
            </w:pPr>
          </w:p>
        </w:tc>
        <w:tc>
          <w:tcPr>
            <w:tcW w:w="1024"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742"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38"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724"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69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65"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05" w:type="dxa"/>
            <w:tcBorders>
              <w:top w:val="nil"/>
              <w:left w:val="nil"/>
              <w:bottom w:val="single" w:color="auto" w:sz="4" w:space="0"/>
              <w:right w:val="nil"/>
            </w:tcBorders>
          </w:tcPr>
          <w:p>
            <w:pPr>
              <w:jc w:val="right"/>
              <w:rPr>
                <w:rFonts w:ascii="仿宋_GB2312" w:eastAsia="仿宋_GB2312"/>
                <w:color w:val="000000"/>
                <w:sz w:val="20"/>
                <w:szCs w:val="20"/>
              </w:rPr>
            </w:pPr>
          </w:p>
        </w:tc>
        <w:tc>
          <w:tcPr>
            <w:tcW w:w="495"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35"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9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7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477" w:type="dxa"/>
            <w:tcBorders>
              <w:top w:val="nil"/>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364"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363"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1101" w:type="dxa"/>
            <w:tcBorders>
              <w:top w:val="nil"/>
              <w:left w:val="nil"/>
              <w:bottom w:val="single" w:color="auto" w:sz="4" w:space="0"/>
              <w:right w:val="single" w:color="auto" w:sz="4" w:space="0"/>
            </w:tcBorders>
            <w:vAlign w:val="center"/>
          </w:tcPr>
          <w:p>
            <w:pPr>
              <w:rPr>
                <w:rFonts w:hint="eastAsia" w:ascii="仿宋_GB2312" w:eastAsia="仿宋_GB2312"/>
                <w:color w:val="000000"/>
                <w:sz w:val="20"/>
                <w:szCs w:val="20"/>
              </w:rPr>
            </w:pPr>
          </w:p>
        </w:tc>
        <w:tc>
          <w:tcPr>
            <w:tcW w:w="1024"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742"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38"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724"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69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65"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05" w:type="dxa"/>
            <w:tcBorders>
              <w:top w:val="nil"/>
              <w:left w:val="nil"/>
              <w:bottom w:val="single" w:color="auto" w:sz="4" w:space="0"/>
              <w:right w:val="nil"/>
            </w:tcBorders>
          </w:tcPr>
          <w:p>
            <w:pPr>
              <w:jc w:val="right"/>
              <w:rPr>
                <w:rFonts w:ascii="仿宋_GB2312" w:eastAsia="仿宋_GB2312"/>
                <w:color w:val="000000"/>
                <w:sz w:val="20"/>
                <w:szCs w:val="20"/>
              </w:rPr>
            </w:pPr>
          </w:p>
        </w:tc>
        <w:tc>
          <w:tcPr>
            <w:tcW w:w="495"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35"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9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7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477" w:type="dxa"/>
            <w:tcBorders>
              <w:top w:val="nil"/>
              <w:left w:val="single" w:color="auto" w:sz="4" w:space="0"/>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364"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363"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1101" w:type="dxa"/>
            <w:tcBorders>
              <w:top w:val="nil"/>
              <w:left w:val="nil"/>
              <w:bottom w:val="single" w:color="auto" w:sz="4" w:space="0"/>
              <w:right w:val="single" w:color="auto" w:sz="4" w:space="0"/>
            </w:tcBorders>
            <w:vAlign w:val="center"/>
          </w:tcPr>
          <w:p>
            <w:pPr>
              <w:rPr>
                <w:rFonts w:hint="eastAsia" w:ascii="仿宋_GB2312" w:eastAsia="仿宋_GB2312"/>
                <w:color w:val="000000"/>
                <w:sz w:val="20"/>
                <w:szCs w:val="20"/>
              </w:rPr>
            </w:pPr>
          </w:p>
        </w:tc>
        <w:tc>
          <w:tcPr>
            <w:tcW w:w="1024"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742"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538"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724"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69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65"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05" w:type="dxa"/>
            <w:tcBorders>
              <w:top w:val="nil"/>
              <w:left w:val="nil"/>
              <w:bottom w:val="single" w:color="auto" w:sz="4" w:space="0"/>
              <w:right w:val="nil"/>
            </w:tcBorders>
          </w:tcPr>
          <w:p>
            <w:pPr>
              <w:jc w:val="right"/>
              <w:rPr>
                <w:rFonts w:ascii="仿宋_GB2312" w:eastAsia="仿宋_GB2312"/>
                <w:color w:val="000000"/>
                <w:sz w:val="20"/>
                <w:szCs w:val="20"/>
              </w:rPr>
            </w:pPr>
          </w:p>
        </w:tc>
        <w:tc>
          <w:tcPr>
            <w:tcW w:w="495"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35"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9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7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465" w:hRule="atLeast"/>
        </w:trPr>
        <w:tc>
          <w:tcPr>
            <w:tcW w:w="477"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1"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2"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6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5" w:type="dxa"/>
            <w:tcBorders>
              <w:top w:val="nil"/>
              <w:left w:val="nil"/>
              <w:bottom w:val="single" w:color="auto" w:sz="4" w:space="0"/>
              <w:right w:val="nil"/>
            </w:tcBorders>
          </w:tcPr>
          <w:p>
            <w:pPr>
              <w:jc w:val="right"/>
              <w:rPr>
                <w:rFonts w:ascii="仿宋_GB2312" w:eastAsia="仿宋_GB2312"/>
                <w:color w:val="000000"/>
                <w:sz w:val="20"/>
                <w:szCs w:val="20"/>
              </w:rPr>
            </w:pPr>
          </w:p>
        </w:tc>
        <w:tc>
          <w:tcPr>
            <w:tcW w:w="4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9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7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681" w:hRule="atLeast"/>
        </w:trPr>
        <w:tc>
          <w:tcPr>
            <w:tcW w:w="477"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3"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b/>
                <w:bCs/>
                <w:color w:val="000000"/>
                <w:sz w:val="20"/>
                <w:szCs w:val="20"/>
              </w:rPr>
              <w:t>合  计</w:t>
            </w:r>
            <w:r>
              <w:rPr>
                <w:rFonts w:hint="eastAsia" w:ascii="仿宋_GB2312" w:eastAsia="仿宋_GB2312"/>
                <w:color w:val="000000"/>
                <w:sz w:val="20"/>
                <w:szCs w:val="20"/>
              </w:rPr>
              <w:t>　</w:t>
            </w:r>
          </w:p>
        </w:tc>
        <w:tc>
          <w:tcPr>
            <w:tcW w:w="1024"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939.58</w:t>
            </w:r>
          </w:p>
        </w:tc>
        <w:tc>
          <w:tcPr>
            <w:tcW w:w="74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16"/>
                <w:szCs w:val="16"/>
              </w:rPr>
            </w:pPr>
            <w:r>
              <w:rPr>
                <w:rFonts w:hint="eastAsia" w:ascii="仿宋_GB2312" w:eastAsia="仿宋_GB2312"/>
                <w:color w:val="000000"/>
                <w:sz w:val="16"/>
                <w:szCs w:val="16"/>
              </w:rPr>
              <w:t>847.38</w:t>
            </w:r>
          </w:p>
        </w:tc>
        <w:tc>
          <w:tcPr>
            <w:tcW w:w="53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24"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9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46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5" w:type="dxa"/>
            <w:tcBorders>
              <w:top w:val="nil"/>
              <w:left w:val="nil"/>
              <w:bottom w:val="single" w:color="auto" w:sz="4" w:space="0"/>
              <w:right w:val="nil"/>
            </w:tcBorders>
          </w:tcPr>
          <w:p>
            <w:pPr>
              <w:jc w:val="right"/>
              <w:rPr>
                <w:rFonts w:ascii="仿宋_GB2312" w:eastAsia="仿宋_GB2312"/>
                <w:color w:val="000000"/>
                <w:sz w:val="20"/>
                <w:szCs w:val="20"/>
              </w:rPr>
            </w:pPr>
          </w:p>
        </w:tc>
        <w:tc>
          <w:tcPr>
            <w:tcW w:w="49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690" w:type="dxa"/>
            <w:tcBorders>
              <w:top w:val="nil"/>
              <w:left w:val="nil"/>
              <w:bottom w:val="single" w:color="auto" w:sz="4" w:space="0"/>
              <w:right w:val="single" w:color="auto" w:sz="4" w:space="0"/>
            </w:tcBorders>
            <w:vAlign w:val="center"/>
          </w:tcPr>
          <w:p>
            <w:pPr>
              <w:jc w:val="right"/>
              <w:rPr>
                <w:rFonts w:ascii="仿宋_GB2312" w:eastAsia="仿宋_GB2312"/>
                <w:color w:val="000000"/>
                <w:sz w:val="20"/>
                <w:szCs w:val="20"/>
              </w:rPr>
            </w:pPr>
          </w:p>
        </w:tc>
        <w:tc>
          <w:tcPr>
            <w:tcW w:w="870"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92.2</w:t>
            </w:r>
          </w:p>
        </w:tc>
      </w:tr>
    </w:tbl>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部门（单位）支出总体情况表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仿宋_GB2312" w:hAnsi="宋体" w:eastAsia="仿宋_GB2312"/>
          <w:kern w:val="0"/>
          <w:sz w:val="24"/>
          <w:lang w:eastAsia="zh-CN"/>
        </w:rPr>
        <w:t>克孜勒苏柯尔克孜自治州退役军人事务局</w:t>
      </w:r>
      <w:r>
        <w:rPr>
          <w:rFonts w:hint="eastAsia" w:ascii="仿宋_GB2312" w:hAnsi="宋体" w:eastAsia="仿宋_GB2312"/>
          <w:kern w:val="0"/>
          <w:sz w:val="24"/>
        </w:rPr>
        <w:t xml:space="preserve">       单位：万元       </w:t>
      </w:r>
    </w:p>
    <w:tbl>
      <w:tblPr>
        <w:tblStyle w:val="7"/>
        <w:tblW w:w="9420" w:type="dxa"/>
        <w:tblInd w:w="-240" w:type="dxa"/>
        <w:tblLayout w:type="fixed"/>
        <w:tblCellMar>
          <w:top w:w="0" w:type="dxa"/>
          <w:left w:w="108" w:type="dxa"/>
          <w:bottom w:w="0" w:type="dxa"/>
          <w:right w:w="108" w:type="dxa"/>
        </w:tblCellMar>
      </w:tblPr>
      <w:tblGrid>
        <w:gridCol w:w="490"/>
        <w:gridCol w:w="425"/>
        <w:gridCol w:w="426"/>
        <w:gridCol w:w="2464"/>
        <w:gridCol w:w="1855"/>
        <w:gridCol w:w="1856"/>
        <w:gridCol w:w="1904"/>
      </w:tblGrid>
      <w:tr>
        <w:tblPrEx>
          <w:tblLayout w:type="fixed"/>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    目</w:t>
            </w:r>
          </w:p>
        </w:tc>
        <w:tc>
          <w:tcPr>
            <w:tcW w:w="5615" w:type="dxa"/>
            <w:gridSpan w:val="3"/>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34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46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合  计</w:t>
            </w:r>
          </w:p>
        </w:tc>
        <w:tc>
          <w:tcPr>
            <w:tcW w:w="185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49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46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49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16"/>
                <w:szCs w:val="16"/>
              </w:rPr>
            </w:pPr>
            <w:r>
              <w:rPr>
                <w:rFonts w:hint="eastAsia" w:ascii="宋体" w:hAnsi="宋体" w:cs="宋体"/>
                <w:b w:val="0"/>
                <w:bCs w:val="0"/>
                <w:color w:val="000000"/>
                <w:kern w:val="0"/>
                <w:sz w:val="16"/>
                <w:szCs w:val="16"/>
              </w:rPr>
              <w:t>208</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16"/>
                <w:szCs w:val="16"/>
              </w:rPr>
            </w:pPr>
            <w:r>
              <w:rPr>
                <w:rFonts w:hint="eastAsia" w:ascii="宋体" w:hAnsi="宋体" w:cs="宋体"/>
                <w:b w:val="0"/>
                <w:bCs w:val="0"/>
                <w:color w:val="000000"/>
                <w:kern w:val="0"/>
                <w:sz w:val="16"/>
                <w:szCs w:val="16"/>
              </w:rPr>
              <w:t>28</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16"/>
                <w:szCs w:val="16"/>
              </w:rPr>
            </w:pPr>
            <w:r>
              <w:rPr>
                <w:rFonts w:hint="eastAsia" w:ascii="宋体" w:hAnsi="宋体" w:cs="宋体"/>
                <w:b w:val="0"/>
                <w:bCs w:val="0"/>
                <w:color w:val="000000"/>
                <w:kern w:val="0"/>
                <w:sz w:val="16"/>
                <w:szCs w:val="16"/>
              </w:rPr>
              <w:t>01</w:t>
            </w:r>
          </w:p>
        </w:tc>
        <w:tc>
          <w:tcPr>
            <w:tcW w:w="2464"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b w:val="0"/>
                <w:bCs w:val="0"/>
                <w:color w:val="000000"/>
                <w:kern w:val="0"/>
                <w:sz w:val="22"/>
                <w:szCs w:val="22"/>
              </w:rPr>
            </w:pPr>
            <w:r>
              <w:rPr>
                <w:rFonts w:hint="eastAsia" w:ascii="仿宋" w:hAnsi="仿宋" w:eastAsia="仿宋" w:cs="宋体"/>
                <w:b w:val="0"/>
                <w:bCs w:val="0"/>
                <w:color w:val="000000"/>
                <w:kern w:val="0"/>
                <w:sz w:val="22"/>
                <w:szCs w:val="22"/>
              </w:rPr>
              <w:t>行政运行</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835.34</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835.34</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835.34</w:t>
            </w:r>
          </w:p>
        </w:tc>
      </w:tr>
      <w:tr>
        <w:tblPrEx>
          <w:tblLayout w:type="fixed"/>
          <w:tblCellMar>
            <w:top w:w="0" w:type="dxa"/>
            <w:left w:w="108" w:type="dxa"/>
            <w:bottom w:w="0" w:type="dxa"/>
            <w:right w:w="108" w:type="dxa"/>
          </w:tblCellMar>
        </w:tblPrEx>
        <w:trPr>
          <w:trHeight w:val="405" w:hRule="atLeast"/>
        </w:trPr>
        <w:tc>
          <w:tcPr>
            <w:tcW w:w="49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16"/>
                <w:szCs w:val="16"/>
              </w:rPr>
            </w:pPr>
            <w:r>
              <w:rPr>
                <w:rFonts w:hint="eastAsia" w:ascii="宋体" w:hAnsi="宋体" w:cs="宋体"/>
                <w:b w:val="0"/>
                <w:bCs w:val="0"/>
                <w:color w:val="000000"/>
                <w:kern w:val="0"/>
                <w:sz w:val="16"/>
                <w:szCs w:val="16"/>
              </w:rPr>
              <w:t>208</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16"/>
                <w:szCs w:val="16"/>
              </w:rPr>
            </w:pPr>
            <w:r>
              <w:rPr>
                <w:rFonts w:hint="eastAsia" w:ascii="宋体" w:hAnsi="宋体" w:cs="宋体"/>
                <w:b w:val="0"/>
                <w:bCs w:val="0"/>
                <w:color w:val="000000"/>
                <w:kern w:val="0"/>
                <w:sz w:val="16"/>
                <w:szCs w:val="16"/>
              </w:rPr>
              <w:t>09</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16"/>
                <w:szCs w:val="16"/>
              </w:rPr>
            </w:pPr>
            <w:r>
              <w:rPr>
                <w:rFonts w:hint="eastAsia" w:ascii="宋体" w:hAnsi="宋体" w:cs="宋体"/>
                <w:b w:val="0"/>
                <w:bCs w:val="0"/>
                <w:color w:val="000000"/>
                <w:kern w:val="0"/>
                <w:sz w:val="16"/>
                <w:szCs w:val="16"/>
              </w:rPr>
              <w:t>99</w:t>
            </w:r>
          </w:p>
        </w:tc>
        <w:tc>
          <w:tcPr>
            <w:tcW w:w="2464"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b w:val="0"/>
                <w:bCs w:val="0"/>
                <w:color w:val="000000"/>
                <w:kern w:val="0"/>
                <w:sz w:val="22"/>
                <w:szCs w:val="22"/>
              </w:rPr>
            </w:pPr>
            <w:r>
              <w:rPr>
                <w:rFonts w:hint="eastAsia" w:ascii="仿宋" w:hAnsi="仿宋" w:eastAsia="仿宋" w:cs="宋体"/>
                <w:b w:val="0"/>
                <w:bCs w:val="0"/>
                <w:color w:val="000000"/>
                <w:kern w:val="0"/>
                <w:sz w:val="22"/>
                <w:szCs w:val="22"/>
              </w:rPr>
              <w:t>其他退役安置支出</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30.09</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30.09</w:t>
            </w:r>
          </w:p>
        </w:tc>
      </w:tr>
      <w:tr>
        <w:tblPrEx>
          <w:tblLayout w:type="fixed"/>
          <w:tblCellMar>
            <w:top w:w="0" w:type="dxa"/>
            <w:left w:w="108" w:type="dxa"/>
            <w:bottom w:w="0" w:type="dxa"/>
            <w:right w:w="108" w:type="dxa"/>
          </w:tblCellMar>
        </w:tblPrEx>
        <w:trPr>
          <w:trHeight w:val="405" w:hRule="atLeast"/>
        </w:trPr>
        <w:tc>
          <w:tcPr>
            <w:tcW w:w="49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16"/>
                <w:szCs w:val="16"/>
              </w:rPr>
            </w:pPr>
            <w:r>
              <w:rPr>
                <w:rFonts w:hint="eastAsia" w:ascii="宋体" w:hAnsi="宋体" w:cs="宋体"/>
                <w:b w:val="0"/>
                <w:bCs w:val="0"/>
                <w:color w:val="000000"/>
                <w:kern w:val="0"/>
                <w:sz w:val="16"/>
                <w:szCs w:val="16"/>
              </w:rPr>
              <w:t>208</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16"/>
                <w:szCs w:val="16"/>
              </w:rPr>
            </w:pPr>
            <w:r>
              <w:rPr>
                <w:rFonts w:hint="eastAsia" w:ascii="宋体" w:hAnsi="宋体" w:cs="宋体"/>
                <w:b w:val="0"/>
                <w:bCs w:val="0"/>
                <w:color w:val="000000"/>
                <w:kern w:val="0"/>
                <w:sz w:val="16"/>
                <w:szCs w:val="16"/>
              </w:rPr>
              <w:t>28</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16"/>
                <w:szCs w:val="16"/>
              </w:rPr>
            </w:pPr>
            <w:r>
              <w:rPr>
                <w:rFonts w:hint="eastAsia" w:ascii="宋体" w:hAnsi="宋体" w:cs="宋体"/>
                <w:b w:val="0"/>
                <w:bCs w:val="0"/>
                <w:color w:val="000000"/>
                <w:kern w:val="0"/>
                <w:sz w:val="16"/>
                <w:szCs w:val="16"/>
              </w:rPr>
              <w:t>99</w:t>
            </w:r>
          </w:p>
        </w:tc>
        <w:tc>
          <w:tcPr>
            <w:tcW w:w="2464"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b w:val="0"/>
                <w:bCs w:val="0"/>
                <w:color w:val="000000"/>
                <w:kern w:val="0"/>
                <w:sz w:val="22"/>
                <w:szCs w:val="22"/>
              </w:rPr>
            </w:pPr>
            <w:r>
              <w:rPr>
                <w:rFonts w:hint="eastAsia" w:ascii="仿宋" w:hAnsi="仿宋" w:eastAsia="仿宋" w:cs="宋体"/>
                <w:b w:val="0"/>
                <w:bCs w:val="0"/>
                <w:color w:val="000000"/>
                <w:kern w:val="0"/>
                <w:sz w:val="16"/>
                <w:szCs w:val="16"/>
              </w:rPr>
              <w:t>其他退役军人事务管理支出</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56.14</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56.14</w:t>
            </w:r>
          </w:p>
        </w:tc>
      </w:tr>
      <w:tr>
        <w:tblPrEx>
          <w:tblLayout w:type="fixed"/>
          <w:tblCellMar>
            <w:top w:w="0" w:type="dxa"/>
            <w:left w:w="108" w:type="dxa"/>
            <w:bottom w:w="0" w:type="dxa"/>
            <w:right w:w="108" w:type="dxa"/>
          </w:tblCellMar>
        </w:tblPrEx>
        <w:trPr>
          <w:trHeight w:val="405" w:hRule="atLeast"/>
        </w:trPr>
        <w:tc>
          <w:tcPr>
            <w:tcW w:w="49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16"/>
                <w:szCs w:val="16"/>
              </w:rPr>
            </w:pPr>
            <w:r>
              <w:rPr>
                <w:rFonts w:hint="eastAsia" w:ascii="宋体" w:hAnsi="宋体" w:cs="宋体"/>
                <w:b w:val="0"/>
                <w:bCs w:val="0"/>
                <w:color w:val="000000"/>
                <w:kern w:val="0"/>
                <w:sz w:val="16"/>
                <w:szCs w:val="16"/>
              </w:rPr>
              <w:t>208</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16"/>
                <w:szCs w:val="16"/>
              </w:rPr>
            </w:pPr>
            <w:r>
              <w:rPr>
                <w:rFonts w:hint="eastAsia" w:ascii="宋体" w:hAnsi="宋体" w:cs="宋体"/>
                <w:b w:val="0"/>
                <w:bCs w:val="0"/>
                <w:color w:val="000000"/>
                <w:kern w:val="0"/>
                <w:sz w:val="16"/>
                <w:szCs w:val="16"/>
              </w:rPr>
              <w:t>09</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16"/>
                <w:szCs w:val="16"/>
              </w:rPr>
            </w:pPr>
            <w:r>
              <w:rPr>
                <w:rFonts w:hint="eastAsia" w:ascii="宋体" w:hAnsi="宋体" w:cs="宋体"/>
                <w:b w:val="0"/>
                <w:bCs w:val="0"/>
                <w:color w:val="000000"/>
                <w:kern w:val="0"/>
                <w:sz w:val="16"/>
                <w:szCs w:val="16"/>
              </w:rPr>
              <w:t>05</w:t>
            </w:r>
          </w:p>
        </w:tc>
        <w:tc>
          <w:tcPr>
            <w:tcW w:w="2464"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b w:val="0"/>
                <w:bCs w:val="0"/>
                <w:color w:val="000000"/>
                <w:kern w:val="0"/>
                <w:sz w:val="16"/>
                <w:szCs w:val="16"/>
              </w:rPr>
            </w:pPr>
            <w:r>
              <w:rPr>
                <w:rFonts w:hint="eastAsia" w:ascii="仿宋" w:hAnsi="仿宋" w:eastAsia="仿宋" w:cs="宋体"/>
                <w:b w:val="0"/>
                <w:bCs w:val="0"/>
                <w:color w:val="000000"/>
                <w:kern w:val="0"/>
                <w:sz w:val="22"/>
                <w:szCs w:val="22"/>
              </w:rPr>
              <w:t>军队转业干部安置</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10.15</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10.15</w:t>
            </w:r>
          </w:p>
        </w:tc>
      </w:tr>
      <w:tr>
        <w:tblPrEx>
          <w:tblLayout w:type="fixed"/>
          <w:tblCellMar>
            <w:top w:w="0" w:type="dxa"/>
            <w:left w:w="108" w:type="dxa"/>
            <w:bottom w:w="0" w:type="dxa"/>
            <w:right w:w="108" w:type="dxa"/>
          </w:tblCellMar>
        </w:tblPrEx>
        <w:trPr>
          <w:trHeight w:val="405" w:hRule="atLeast"/>
        </w:trPr>
        <w:tc>
          <w:tcPr>
            <w:tcW w:w="49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16"/>
                <w:szCs w:val="16"/>
              </w:rPr>
            </w:pPr>
            <w:r>
              <w:rPr>
                <w:rFonts w:hint="eastAsia" w:ascii="宋体" w:hAnsi="宋体" w:cs="宋体"/>
                <w:b w:val="0"/>
                <w:bCs w:val="0"/>
                <w:color w:val="000000"/>
                <w:kern w:val="0"/>
                <w:sz w:val="16"/>
                <w:szCs w:val="16"/>
              </w:rPr>
              <w:t>208</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16"/>
                <w:szCs w:val="16"/>
              </w:rPr>
            </w:pPr>
            <w:r>
              <w:rPr>
                <w:rFonts w:hint="eastAsia" w:ascii="宋体" w:hAnsi="宋体" w:cs="宋体"/>
                <w:b w:val="0"/>
                <w:bCs w:val="0"/>
                <w:color w:val="000000"/>
                <w:kern w:val="0"/>
                <w:sz w:val="16"/>
                <w:szCs w:val="16"/>
              </w:rPr>
              <w:t>08</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16"/>
                <w:szCs w:val="16"/>
              </w:rPr>
            </w:pPr>
            <w:r>
              <w:rPr>
                <w:rFonts w:hint="eastAsia" w:ascii="宋体" w:hAnsi="宋体" w:cs="宋体"/>
                <w:b w:val="0"/>
                <w:bCs w:val="0"/>
                <w:color w:val="000000"/>
                <w:kern w:val="0"/>
                <w:sz w:val="16"/>
                <w:szCs w:val="16"/>
              </w:rPr>
              <w:t>02</w:t>
            </w:r>
          </w:p>
        </w:tc>
        <w:tc>
          <w:tcPr>
            <w:tcW w:w="2464"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b w:val="0"/>
                <w:bCs w:val="0"/>
                <w:color w:val="000000"/>
                <w:kern w:val="0"/>
                <w:sz w:val="22"/>
                <w:szCs w:val="22"/>
              </w:rPr>
            </w:pPr>
            <w:r>
              <w:rPr>
                <w:rFonts w:hint="eastAsia" w:ascii="仿宋" w:hAnsi="仿宋" w:eastAsia="仿宋" w:cs="宋体"/>
                <w:b w:val="0"/>
                <w:bCs w:val="0"/>
                <w:color w:val="000000"/>
                <w:kern w:val="0"/>
                <w:sz w:val="22"/>
                <w:szCs w:val="22"/>
              </w:rPr>
              <w:t>伤残抚恤</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2.81</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2.81</w:t>
            </w:r>
          </w:p>
        </w:tc>
      </w:tr>
      <w:tr>
        <w:tblPrEx>
          <w:tblLayout w:type="fixed"/>
          <w:tblCellMar>
            <w:top w:w="0" w:type="dxa"/>
            <w:left w:w="108" w:type="dxa"/>
            <w:bottom w:w="0" w:type="dxa"/>
            <w:right w:w="108" w:type="dxa"/>
          </w:tblCellMar>
        </w:tblPrEx>
        <w:trPr>
          <w:trHeight w:val="405" w:hRule="atLeast"/>
        </w:trPr>
        <w:tc>
          <w:tcPr>
            <w:tcW w:w="49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16"/>
                <w:szCs w:val="16"/>
              </w:rPr>
            </w:pPr>
            <w:r>
              <w:rPr>
                <w:rFonts w:hint="eastAsia" w:ascii="宋体" w:hAnsi="宋体" w:cs="宋体"/>
                <w:b w:val="0"/>
                <w:bCs w:val="0"/>
                <w:color w:val="000000"/>
                <w:kern w:val="0"/>
                <w:sz w:val="16"/>
                <w:szCs w:val="16"/>
              </w:rPr>
              <w:t>208</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16"/>
                <w:szCs w:val="16"/>
              </w:rPr>
            </w:pPr>
            <w:r>
              <w:rPr>
                <w:rFonts w:hint="eastAsia" w:ascii="宋体" w:hAnsi="宋体" w:cs="宋体"/>
                <w:b w:val="0"/>
                <w:bCs w:val="0"/>
                <w:color w:val="000000"/>
                <w:kern w:val="0"/>
                <w:sz w:val="16"/>
                <w:szCs w:val="16"/>
              </w:rPr>
              <w:t>09</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16"/>
                <w:szCs w:val="16"/>
              </w:rPr>
            </w:pPr>
            <w:r>
              <w:rPr>
                <w:rFonts w:hint="eastAsia" w:ascii="宋体" w:hAnsi="宋体" w:cs="宋体"/>
                <w:b w:val="0"/>
                <w:bCs w:val="0"/>
                <w:color w:val="000000"/>
                <w:kern w:val="0"/>
                <w:sz w:val="16"/>
                <w:szCs w:val="16"/>
              </w:rPr>
              <w:t>01</w:t>
            </w:r>
          </w:p>
        </w:tc>
        <w:tc>
          <w:tcPr>
            <w:tcW w:w="2464" w:type="dxa"/>
            <w:tcBorders>
              <w:top w:val="nil"/>
              <w:left w:val="nil"/>
              <w:bottom w:val="single" w:color="auto" w:sz="4" w:space="0"/>
              <w:right w:val="single" w:color="auto" w:sz="4" w:space="0"/>
            </w:tcBorders>
            <w:vAlign w:val="center"/>
          </w:tcPr>
          <w:p>
            <w:pPr>
              <w:widowControl/>
              <w:spacing w:line="280" w:lineRule="exact"/>
              <w:jc w:val="center"/>
              <w:rPr>
                <w:rFonts w:hint="eastAsia" w:ascii="仿宋" w:hAnsi="仿宋" w:eastAsia="仿宋" w:cs="宋体"/>
                <w:b w:val="0"/>
                <w:bCs w:val="0"/>
                <w:color w:val="000000"/>
                <w:kern w:val="0"/>
                <w:sz w:val="22"/>
                <w:szCs w:val="22"/>
              </w:rPr>
            </w:pPr>
            <w:r>
              <w:rPr>
                <w:rFonts w:hint="eastAsia" w:ascii="仿宋" w:hAnsi="仿宋" w:eastAsia="仿宋" w:cs="宋体"/>
                <w:b w:val="0"/>
                <w:bCs w:val="0"/>
                <w:color w:val="000000"/>
                <w:kern w:val="0"/>
                <w:sz w:val="22"/>
                <w:szCs w:val="22"/>
              </w:rPr>
              <w:t>退役士兵安置</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5.05</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5.05</w:t>
            </w:r>
          </w:p>
        </w:tc>
      </w:tr>
      <w:tr>
        <w:tblPrEx>
          <w:tblLayout w:type="fixed"/>
          <w:tblCellMar>
            <w:top w:w="0" w:type="dxa"/>
            <w:left w:w="108" w:type="dxa"/>
            <w:bottom w:w="0" w:type="dxa"/>
            <w:right w:w="108" w:type="dxa"/>
          </w:tblCellMar>
        </w:tblPrEx>
        <w:trPr>
          <w:trHeight w:val="405" w:hRule="atLeast"/>
        </w:trPr>
        <w:tc>
          <w:tcPr>
            <w:tcW w:w="49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46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9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6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9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16"/>
                <w:szCs w:val="16"/>
              </w:rPr>
            </w:pPr>
          </w:p>
        </w:tc>
        <w:tc>
          <w:tcPr>
            <w:tcW w:w="246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9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16"/>
                <w:szCs w:val="16"/>
              </w:rPr>
            </w:pPr>
          </w:p>
        </w:tc>
        <w:tc>
          <w:tcPr>
            <w:tcW w:w="246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9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16"/>
                <w:szCs w:val="16"/>
              </w:rPr>
            </w:pPr>
          </w:p>
        </w:tc>
        <w:tc>
          <w:tcPr>
            <w:tcW w:w="246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r>
              <w:rPr>
                <w:rFonts w:hint="eastAsia" w:ascii="宋体" w:hAnsi="宋体" w:cs="宋体"/>
                <w:b w:val="0"/>
                <w:bCs w:val="0"/>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9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16"/>
                <w:szCs w:val="16"/>
              </w:rPr>
            </w:pPr>
          </w:p>
        </w:tc>
        <w:tc>
          <w:tcPr>
            <w:tcW w:w="246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r>
              <w:rPr>
                <w:rFonts w:hint="eastAsia" w:ascii="宋体" w:hAnsi="宋体" w:cs="宋体"/>
                <w:b w:val="0"/>
                <w:bCs w:val="0"/>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9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16"/>
                <w:szCs w:val="16"/>
              </w:rPr>
            </w:pPr>
          </w:p>
        </w:tc>
        <w:tc>
          <w:tcPr>
            <w:tcW w:w="246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9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16"/>
                <w:szCs w:val="16"/>
              </w:rPr>
            </w:pPr>
          </w:p>
        </w:tc>
        <w:tc>
          <w:tcPr>
            <w:tcW w:w="246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r>
              <w:rPr>
                <w:rFonts w:hint="eastAsia" w:ascii="宋体" w:hAnsi="宋体" w:cs="宋体"/>
                <w:b w:val="0"/>
                <w:bCs w:val="0"/>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9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16"/>
                <w:szCs w:val="16"/>
              </w:rPr>
            </w:pPr>
          </w:p>
        </w:tc>
        <w:tc>
          <w:tcPr>
            <w:tcW w:w="246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r>
              <w:rPr>
                <w:rFonts w:hint="eastAsia" w:ascii="宋体" w:hAnsi="宋体" w:cs="宋体"/>
                <w:b w:val="0"/>
                <w:bCs w:val="0"/>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9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16"/>
                <w:szCs w:val="16"/>
              </w:rPr>
            </w:pPr>
          </w:p>
        </w:tc>
        <w:tc>
          <w:tcPr>
            <w:tcW w:w="246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r>
              <w:rPr>
                <w:rFonts w:hint="eastAsia" w:ascii="宋体" w:hAnsi="宋体" w:cs="宋体"/>
                <w:b w:val="0"/>
                <w:bCs w:val="0"/>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9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6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9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6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9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46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9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46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9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6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9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6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579" w:hRule="atLeast"/>
        </w:trPr>
        <w:tc>
          <w:tcPr>
            <w:tcW w:w="49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25"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26"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246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b/>
                <w:bCs/>
                <w:color w:val="000000"/>
                <w:kern w:val="0"/>
                <w:sz w:val="22"/>
                <w:szCs w:val="22"/>
              </w:rPr>
              <w:t>合  计</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4"/>
              </w:rPr>
            </w:pPr>
            <w:r>
              <w:rPr>
                <w:rFonts w:hint="eastAsia" w:ascii="宋体" w:hAnsi="宋体" w:cs="宋体"/>
                <w:color w:val="000000"/>
                <w:kern w:val="0"/>
                <w:sz w:val="24"/>
              </w:rPr>
              <w:t>939.58</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4"/>
              </w:rPr>
            </w:pPr>
            <w:r>
              <w:rPr>
                <w:rFonts w:hint="eastAsia" w:ascii="宋体" w:hAnsi="宋体" w:cs="宋体"/>
                <w:color w:val="000000"/>
                <w:kern w:val="0"/>
                <w:sz w:val="24"/>
              </w:rPr>
              <w:t>835.34</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4"/>
              </w:rPr>
            </w:pPr>
            <w:r>
              <w:rPr>
                <w:rFonts w:hint="eastAsia" w:ascii="宋体" w:hAnsi="宋体" w:cs="宋体"/>
                <w:color w:val="000000"/>
                <w:kern w:val="0"/>
                <w:sz w:val="24"/>
              </w:rPr>
              <w:t>104.25</w:t>
            </w:r>
          </w:p>
        </w:tc>
      </w:tr>
    </w:tbl>
    <w:p>
      <w:pPr>
        <w:widowControl/>
        <w:spacing w:beforeLines="50" w:line="280" w:lineRule="exact"/>
        <w:outlineLvl w:val="1"/>
        <w:rPr>
          <w:rFonts w:hint="eastAsia" w:ascii="仿宋_GB2312" w:hAnsi="宋体" w:eastAsia="仿宋_GB2312"/>
          <w:b/>
          <w:kern w:val="0"/>
          <w:sz w:val="32"/>
          <w:szCs w:val="32"/>
        </w:rPr>
      </w:pPr>
    </w:p>
    <w:p>
      <w:pPr>
        <w:widowControl/>
        <w:spacing w:beforeLines="50" w:line="280" w:lineRule="exact"/>
        <w:outlineLvl w:val="1"/>
        <w:rPr>
          <w:rFonts w:hint="eastAsia" w:ascii="仿宋_GB2312" w:hAnsi="宋体" w:eastAsia="仿宋_GB2312"/>
          <w:b/>
          <w:kern w:val="0"/>
          <w:sz w:val="32"/>
          <w:szCs w:val="32"/>
        </w:rPr>
      </w:pPr>
    </w:p>
    <w:p>
      <w:pPr>
        <w:widowControl/>
        <w:spacing w:beforeLines="50"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line="280" w:lineRule="exact"/>
        <w:outlineLvl w:val="1"/>
        <w:rPr>
          <w:rFonts w:ascii="仿宋_GB2312" w:hAnsi="宋体" w:eastAsia="仿宋_GB2312"/>
          <w:kern w:val="0"/>
          <w:szCs w:val="21"/>
        </w:rPr>
      </w:pPr>
      <w:r>
        <w:rPr>
          <w:rFonts w:hint="eastAsia" w:ascii="仿宋_GB2312" w:hAnsi="宋体" w:eastAsia="仿宋_GB2312"/>
          <w:kern w:val="0"/>
          <w:szCs w:val="21"/>
        </w:rPr>
        <w:t>编制部门（单位）：</w:t>
      </w:r>
      <w:r>
        <w:rPr>
          <w:rFonts w:hint="eastAsia" w:ascii="仿宋_GB2312" w:hAnsi="宋体" w:eastAsia="仿宋_GB2312"/>
          <w:kern w:val="0"/>
          <w:szCs w:val="21"/>
          <w:lang w:eastAsia="zh-CN"/>
        </w:rPr>
        <w:t>克孜勒苏柯尔克孜自治州退役军人事务局</w:t>
      </w:r>
      <w:r>
        <w:rPr>
          <w:rFonts w:hint="eastAsia" w:ascii="仿宋_GB2312" w:hAnsi="宋体" w:eastAsia="仿宋_GB2312"/>
          <w:kern w:val="0"/>
          <w:szCs w:val="21"/>
        </w:rPr>
        <w:t xml:space="preserve">               单位：万元</w:t>
      </w:r>
    </w:p>
    <w:tbl>
      <w:tblPr>
        <w:tblStyle w:val="7"/>
        <w:tblW w:w="9087" w:type="dxa"/>
        <w:tblInd w:w="-240" w:type="dxa"/>
        <w:tblLayout w:type="fixed"/>
        <w:tblCellMar>
          <w:top w:w="0" w:type="dxa"/>
          <w:left w:w="108" w:type="dxa"/>
          <w:bottom w:w="0" w:type="dxa"/>
          <w:right w:w="108" w:type="dxa"/>
        </w:tblCellMar>
      </w:tblPr>
      <w:tblGrid>
        <w:gridCol w:w="1673"/>
        <w:gridCol w:w="989"/>
        <w:gridCol w:w="1093"/>
        <w:gridCol w:w="1317"/>
        <w:gridCol w:w="820"/>
        <w:gridCol w:w="1009"/>
        <w:gridCol w:w="1093"/>
        <w:gridCol w:w="1092"/>
        <w:gridCol w:w="1"/>
      </w:tblGrid>
      <w:tr>
        <w:tblPrEx>
          <w:tblLayout w:type="fixed"/>
          <w:tblCellMar>
            <w:top w:w="0" w:type="dxa"/>
            <w:left w:w="108" w:type="dxa"/>
            <w:bottom w:w="0" w:type="dxa"/>
            <w:right w:w="108" w:type="dxa"/>
          </w:tblCellMar>
        </w:tblPrEx>
        <w:trPr>
          <w:gridAfter w:val="1"/>
          <w:wAfter w:w="1" w:type="dxa"/>
          <w:trHeight w:val="285" w:hRule="atLeast"/>
        </w:trPr>
        <w:tc>
          <w:tcPr>
            <w:tcW w:w="2662" w:type="dxa"/>
            <w:gridSpan w:val="2"/>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1093" w:type="dxa"/>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仿宋_GB2312" w:hAnsi="宋体" w:eastAsia="仿宋_GB2312" w:cs="宋体"/>
                <w:b/>
                <w:bCs/>
                <w:kern w:val="0"/>
                <w:sz w:val="24"/>
              </w:rPr>
            </w:pPr>
          </w:p>
        </w:tc>
        <w:tc>
          <w:tcPr>
            <w:tcW w:w="5331" w:type="dxa"/>
            <w:gridSpan w:val="5"/>
            <w:tcBorders>
              <w:top w:val="single" w:color="auto" w:sz="4" w:space="0"/>
              <w:left w:val="nil"/>
              <w:bottom w:val="single" w:color="auto" w:sz="4" w:space="0"/>
              <w:right w:val="single" w:color="000000"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Layout w:type="fixed"/>
          <w:tblCellMar>
            <w:top w:w="0" w:type="dxa"/>
            <w:left w:w="108" w:type="dxa"/>
            <w:bottom w:w="0" w:type="dxa"/>
            <w:right w:w="108" w:type="dxa"/>
          </w:tblCellMar>
        </w:tblPrEx>
        <w:trPr>
          <w:trHeight w:val="465" w:hRule="atLeast"/>
        </w:trPr>
        <w:tc>
          <w:tcPr>
            <w:tcW w:w="1673"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98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2410"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820"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100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093"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c>
          <w:tcPr>
            <w:tcW w:w="1093" w:type="dxa"/>
            <w:gridSpan w:val="2"/>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highlight w:val="none"/>
              </w:rPr>
              <w:t>国有</w:t>
            </w:r>
            <w:r>
              <w:rPr>
                <w:rFonts w:ascii="仿宋_GB2312" w:hAnsi="宋体" w:eastAsia="仿宋_GB2312" w:cs="宋体"/>
                <w:b/>
                <w:kern w:val="0"/>
                <w:sz w:val="20"/>
                <w:szCs w:val="20"/>
                <w:highlight w:val="none"/>
              </w:rPr>
              <w:t>资本经营预算</w:t>
            </w:r>
          </w:p>
        </w:tc>
      </w:tr>
      <w:tr>
        <w:tblPrEx>
          <w:tblLayout w:type="fixed"/>
          <w:tblCellMar>
            <w:top w:w="0" w:type="dxa"/>
            <w:left w:w="108" w:type="dxa"/>
            <w:bottom w:w="0" w:type="dxa"/>
            <w:right w:w="108" w:type="dxa"/>
          </w:tblCellMar>
        </w:tblPrEx>
        <w:trPr>
          <w:trHeight w:val="312" w:hRule="exact"/>
        </w:trPr>
        <w:tc>
          <w:tcPr>
            <w:tcW w:w="167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一、财政拨款（补助）</w:t>
            </w:r>
          </w:p>
        </w:tc>
        <w:tc>
          <w:tcPr>
            <w:tcW w:w="989" w:type="dxa"/>
            <w:tcBorders>
              <w:top w:val="nil"/>
              <w:left w:val="nil"/>
              <w:bottom w:val="single" w:color="auto" w:sz="4" w:space="0"/>
              <w:right w:val="single" w:color="auto" w:sz="4" w:space="0"/>
            </w:tcBorders>
            <w:vAlign w:val="center"/>
          </w:tcPr>
          <w:p>
            <w:pPr>
              <w:widowControl/>
              <w:spacing w:line="280" w:lineRule="exact"/>
              <w:ind w:right="11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847.38</w:t>
            </w:r>
          </w:p>
        </w:tc>
        <w:tc>
          <w:tcPr>
            <w:tcW w:w="2410" w:type="dxa"/>
            <w:gridSpan w:val="2"/>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82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c>
          <w:tcPr>
            <w:tcW w:w="1093" w:type="dxa"/>
            <w:gridSpan w:val="2"/>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7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989" w:type="dxa"/>
            <w:tcBorders>
              <w:top w:val="nil"/>
              <w:left w:val="nil"/>
              <w:bottom w:val="single" w:color="auto" w:sz="4" w:space="0"/>
              <w:right w:val="single" w:color="auto" w:sz="4" w:space="0"/>
            </w:tcBorders>
            <w:vAlign w:val="center"/>
          </w:tcPr>
          <w:p>
            <w:pPr>
              <w:widowControl/>
              <w:spacing w:line="280" w:lineRule="exact"/>
              <w:ind w:right="220"/>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847.38</w:t>
            </w:r>
          </w:p>
        </w:tc>
        <w:tc>
          <w:tcPr>
            <w:tcW w:w="2410" w:type="dxa"/>
            <w:gridSpan w:val="2"/>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82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c>
          <w:tcPr>
            <w:tcW w:w="1093" w:type="dxa"/>
            <w:gridSpan w:val="2"/>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7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98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10" w:type="dxa"/>
            <w:gridSpan w:val="2"/>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82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c>
          <w:tcPr>
            <w:tcW w:w="1093" w:type="dxa"/>
            <w:gridSpan w:val="2"/>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72" w:hRule="exact"/>
        </w:trPr>
        <w:tc>
          <w:tcPr>
            <w:tcW w:w="167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highlight w:val="none"/>
              </w:rPr>
              <w:t>国有资本</w:t>
            </w:r>
            <w:r>
              <w:rPr>
                <w:rFonts w:ascii="仿宋_GB2312" w:hAnsi="宋体" w:eastAsia="仿宋_GB2312" w:cs="宋体"/>
                <w:kern w:val="0"/>
                <w:sz w:val="18"/>
                <w:szCs w:val="18"/>
                <w:highlight w:val="none"/>
              </w:rPr>
              <w:t>经营预算</w:t>
            </w:r>
          </w:p>
        </w:tc>
        <w:tc>
          <w:tcPr>
            <w:tcW w:w="989"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10" w:type="dxa"/>
            <w:gridSpan w:val="2"/>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82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c>
          <w:tcPr>
            <w:tcW w:w="1093" w:type="dxa"/>
            <w:gridSpan w:val="2"/>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7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89"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10" w:type="dxa"/>
            <w:gridSpan w:val="2"/>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82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c>
          <w:tcPr>
            <w:tcW w:w="1093" w:type="dxa"/>
            <w:gridSpan w:val="2"/>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7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89"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10" w:type="dxa"/>
            <w:gridSpan w:val="2"/>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82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c>
          <w:tcPr>
            <w:tcW w:w="1093" w:type="dxa"/>
            <w:gridSpan w:val="2"/>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7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89"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10" w:type="dxa"/>
            <w:gridSpan w:val="2"/>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82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c>
          <w:tcPr>
            <w:tcW w:w="1093" w:type="dxa"/>
            <w:gridSpan w:val="2"/>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7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89"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10" w:type="dxa"/>
            <w:gridSpan w:val="2"/>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820" w:type="dxa"/>
            <w:tcBorders>
              <w:top w:val="nil"/>
              <w:left w:val="nil"/>
              <w:bottom w:val="single" w:color="auto" w:sz="4" w:space="0"/>
              <w:right w:val="single" w:color="auto" w:sz="4" w:space="0"/>
            </w:tcBorders>
            <w:vAlign w:val="center"/>
          </w:tcPr>
          <w:p>
            <w:pPr>
              <w:widowControl/>
              <w:spacing w:line="280" w:lineRule="exact"/>
              <w:ind w:right="180"/>
              <w:jc w:val="right"/>
              <w:rPr>
                <w:rFonts w:ascii="宋体" w:hAnsi="宋体" w:cs="宋体"/>
                <w:kern w:val="0"/>
                <w:sz w:val="18"/>
                <w:szCs w:val="18"/>
              </w:rPr>
            </w:pPr>
            <w:r>
              <w:rPr>
                <w:rFonts w:hint="eastAsia" w:ascii="宋体" w:hAnsi="宋体" w:cs="宋体"/>
                <w:kern w:val="0"/>
                <w:sz w:val="18"/>
                <w:szCs w:val="18"/>
              </w:rPr>
              <w:t>847.38</w:t>
            </w:r>
          </w:p>
        </w:tc>
        <w:tc>
          <w:tcPr>
            <w:tcW w:w="1009" w:type="dxa"/>
            <w:tcBorders>
              <w:top w:val="nil"/>
              <w:left w:val="nil"/>
              <w:bottom w:val="single" w:color="auto" w:sz="4" w:space="0"/>
              <w:right w:val="single" w:color="auto" w:sz="4" w:space="0"/>
            </w:tcBorders>
            <w:vAlign w:val="center"/>
          </w:tcPr>
          <w:p>
            <w:pPr>
              <w:widowControl/>
              <w:spacing w:line="280" w:lineRule="exact"/>
              <w:ind w:right="180"/>
              <w:jc w:val="right"/>
              <w:rPr>
                <w:rFonts w:ascii="宋体" w:hAnsi="宋体" w:cs="宋体"/>
                <w:kern w:val="0"/>
                <w:sz w:val="18"/>
                <w:szCs w:val="18"/>
              </w:rPr>
            </w:pPr>
            <w:r>
              <w:rPr>
                <w:rFonts w:hint="eastAsia" w:ascii="宋体" w:hAnsi="宋体" w:cs="宋体"/>
                <w:kern w:val="0"/>
                <w:sz w:val="18"/>
                <w:szCs w:val="18"/>
              </w:rPr>
              <w:t>847.38</w:t>
            </w:r>
          </w:p>
        </w:tc>
        <w:tc>
          <w:tcPr>
            <w:tcW w:w="1093"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c>
          <w:tcPr>
            <w:tcW w:w="1093" w:type="dxa"/>
            <w:gridSpan w:val="2"/>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7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989"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410" w:type="dxa"/>
            <w:gridSpan w:val="2"/>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209 社会保险基金支出</w:t>
            </w:r>
          </w:p>
        </w:tc>
        <w:tc>
          <w:tcPr>
            <w:tcW w:w="82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0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09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093" w:type="dxa"/>
            <w:gridSpan w:val="2"/>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7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89"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10" w:type="dxa"/>
            <w:gridSpan w:val="2"/>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 卫生健康支出</w:t>
            </w:r>
          </w:p>
        </w:tc>
        <w:tc>
          <w:tcPr>
            <w:tcW w:w="82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c>
          <w:tcPr>
            <w:tcW w:w="1093" w:type="dxa"/>
            <w:gridSpan w:val="2"/>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7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89"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10" w:type="dxa"/>
            <w:gridSpan w:val="2"/>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82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c>
          <w:tcPr>
            <w:tcW w:w="1093" w:type="dxa"/>
            <w:gridSpan w:val="2"/>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7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89"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10" w:type="dxa"/>
            <w:gridSpan w:val="2"/>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82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c>
          <w:tcPr>
            <w:tcW w:w="1093" w:type="dxa"/>
            <w:gridSpan w:val="2"/>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7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89"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10" w:type="dxa"/>
            <w:gridSpan w:val="2"/>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82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c>
          <w:tcPr>
            <w:tcW w:w="1093" w:type="dxa"/>
            <w:gridSpan w:val="2"/>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7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89"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10" w:type="dxa"/>
            <w:gridSpan w:val="2"/>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82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c>
          <w:tcPr>
            <w:tcW w:w="1093" w:type="dxa"/>
            <w:gridSpan w:val="2"/>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7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89"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10" w:type="dxa"/>
            <w:gridSpan w:val="2"/>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82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c>
          <w:tcPr>
            <w:tcW w:w="1093" w:type="dxa"/>
            <w:gridSpan w:val="2"/>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7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89"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10" w:type="dxa"/>
            <w:gridSpan w:val="2"/>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82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c>
          <w:tcPr>
            <w:tcW w:w="1093" w:type="dxa"/>
            <w:gridSpan w:val="2"/>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7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89"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10" w:type="dxa"/>
            <w:gridSpan w:val="2"/>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82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c>
          <w:tcPr>
            <w:tcW w:w="1093" w:type="dxa"/>
            <w:gridSpan w:val="2"/>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7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89"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10" w:type="dxa"/>
            <w:gridSpan w:val="2"/>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82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c>
          <w:tcPr>
            <w:tcW w:w="1093" w:type="dxa"/>
            <w:gridSpan w:val="2"/>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7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89"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10" w:type="dxa"/>
            <w:gridSpan w:val="2"/>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82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c>
          <w:tcPr>
            <w:tcW w:w="1093" w:type="dxa"/>
            <w:gridSpan w:val="2"/>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7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89"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10" w:type="dxa"/>
            <w:gridSpan w:val="2"/>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82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c>
          <w:tcPr>
            <w:tcW w:w="1093" w:type="dxa"/>
            <w:gridSpan w:val="2"/>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7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89"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10" w:type="dxa"/>
            <w:gridSpan w:val="2"/>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82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c>
          <w:tcPr>
            <w:tcW w:w="1093" w:type="dxa"/>
            <w:gridSpan w:val="2"/>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7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989"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410" w:type="dxa"/>
            <w:gridSpan w:val="2"/>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82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0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09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093" w:type="dxa"/>
            <w:gridSpan w:val="2"/>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7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89"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10" w:type="dxa"/>
            <w:gridSpan w:val="2"/>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82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c>
          <w:tcPr>
            <w:tcW w:w="1093" w:type="dxa"/>
            <w:gridSpan w:val="2"/>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7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89"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10" w:type="dxa"/>
            <w:gridSpan w:val="2"/>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82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c>
          <w:tcPr>
            <w:tcW w:w="1093" w:type="dxa"/>
            <w:gridSpan w:val="2"/>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7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89"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10" w:type="dxa"/>
            <w:gridSpan w:val="2"/>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82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c>
          <w:tcPr>
            <w:tcW w:w="1093" w:type="dxa"/>
            <w:gridSpan w:val="2"/>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7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89"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10" w:type="dxa"/>
            <w:gridSpan w:val="2"/>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82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c>
          <w:tcPr>
            <w:tcW w:w="1093" w:type="dxa"/>
            <w:gridSpan w:val="2"/>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7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89"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10" w:type="dxa"/>
            <w:gridSpan w:val="2"/>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82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0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093"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color w:val="000000"/>
                <w:kern w:val="0"/>
                <w:sz w:val="22"/>
                <w:szCs w:val="22"/>
              </w:rPr>
            </w:pPr>
          </w:p>
        </w:tc>
        <w:tc>
          <w:tcPr>
            <w:tcW w:w="1093" w:type="dxa"/>
            <w:gridSpan w:val="2"/>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67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89"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10" w:type="dxa"/>
            <w:gridSpan w:val="2"/>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82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0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093"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color w:val="000000"/>
                <w:kern w:val="0"/>
                <w:sz w:val="22"/>
                <w:szCs w:val="22"/>
              </w:rPr>
            </w:pPr>
          </w:p>
        </w:tc>
        <w:tc>
          <w:tcPr>
            <w:tcW w:w="1093" w:type="dxa"/>
            <w:gridSpan w:val="2"/>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67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89"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10" w:type="dxa"/>
            <w:gridSpan w:val="2"/>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82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3"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c>
          <w:tcPr>
            <w:tcW w:w="1093" w:type="dxa"/>
            <w:gridSpan w:val="2"/>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7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989"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410" w:type="dxa"/>
            <w:gridSpan w:val="2"/>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234 抗疫特别国债还本支出</w:t>
            </w:r>
          </w:p>
        </w:tc>
        <w:tc>
          <w:tcPr>
            <w:tcW w:w="82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0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09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093" w:type="dxa"/>
            <w:gridSpan w:val="2"/>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7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989"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410" w:type="dxa"/>
            <w:gridSpan w:val="2"/>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82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00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09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093" w:type="dxa"/>
            <w:gridSpan w:val="2"/>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73"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98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10" w:type="dxa"/>
            <w:gridSpan w:val="2"/>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820" w:type="dxa"/>
            <w:tcBorders>
              <w:top w:val="nil"/>
              <w:left w:val="nil"/>
              <w:bottom w:val="single" w:color="auto" w:sz="4" w:space="0"/>
              <w:right w:val="single" w:color="auto" w:sz="4" w:space="0"/>
            </w:tcBorders>
            <w:vAlign w:val="center"/>
          </w:tcPr>
          <w:p>
            <w:pPr>
              <w:widowControl/>
              <w:spacing w:line="280" w:lineRule="exact"/>
              <w:ind w:right="220"/>
              <w:jc w:val="right"/>
              <w:rPr>
                <w:rFonts w:ascii="宋体" w:hAnsi="宋体" w:cs="宋体"/>
                <w:kern w:val="0"/>
                <w:sz w:val="18"/>
                <w:szCs w:val="18"/>
              </w:rPr>
            </w:pPr>
            <w:r>
              <w:rPr>
                <w:rFonts w:hint="eastAsia" w:ascii="宋体" w:hAnsi="宋体" w:cs="宋体"/>
                <w:color w:val="000000"/>
                <w:kern w:val="0"/>
                <w:sz w:val="22"/>
                <w:szCs w:val="22"/>
              </w:rPr>
              <w:t>847.38</w:t>
            </w:r>
          </w:p>
        </w:tc>
        <w:tc>
          <w:tcPr>
            <w:tcW w:w="1009" w:type="dxa"/>
            <w:tcBorders>
              <w:top w:val="nil"/>
              <w:left w:val="nil"/>
              <w:bottom w:val="single" w:color="auto" w:sz="4" w:space="0"/>
              <w:right w:val="single" w:color="auto" w:sz="4" w:space="0"/>
            </w:tcBorders>
            <w:vAlign w:val="center"/>
          </w:tcPr>
          <w:p>
            <w:pPr>
              <w:widowControl/>
              <w:spacing w:line="280" w:lineRule="exact"/>
              <w:ind w:right="220"/>
              <w:jc w:val="right"/>
              <w:rPr>
                <w:rFonts w:ascii="宋体" w:hAnsi="宋体" w:cs="宋体"/>
                <w:kern w:val="0"/>
                <w:sz w:val="18"/>
                <w:szCs w:val="18"/>
              </w:rPr>
            </w:pPr>
            <w:r>
              <w:rPr>
                <w:rFonts w:hint="eastAsia" w:ascii="宋体" w:hAnsi="宋体" w:cs="宋体"/>
                <w:color w:val="000000"/>
                <w:kern w:val="0"/>
                <w:sz w:val="22"/>
                <w:szCs w:val="22"/>
              </w:rPr>
              <w:t>847.38</w:t>
            </w:r>
          </w:p>
        </w:tc>
        <w:tc>
          <w:tcPr>
            <w:tcW w:w="1093" w:type="dxa"/>
            <w:tcBorders>
              <w:top w:val="nil"/>
              <w:left w:val="nil"/>
              <w:bottom w:val="single" w:color="auto" w:sz="4" w:space="0"/>
              <w:right w:val="single" w:color="auto" w:sz="4" w:space="0"/>
            </w:tcBorders>
            <w:vAlign w:val="center"/>
          </w:tcPr>
          <w:p>
            <w:pPr>
              <w:widowControl/>
              <w:spacing w:line="280" w:lineRule="exact"/>
              <w:jc w:val="right"/>
              <w:rPr>
                <w:rFonts w:hint="eastAsia" w:ascii="宋体" w:hAnsi="宋体" w:cs="宋体"/>
                <w:kern w:val="0"/>
                <w:sz w:val="18"/>
                <w:szCs w:val="18"/>
              </w:rPr>
            </w:pPr>
          </w:p>
        </w:tc>
        <w:tc>
          <w:tcPr>
            <w:tcW w:w="1093" w:type="dxa"/>
            <w:gridSpan w:val="2"/>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bl>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fixed"/>
        <w:tblCellMar>
          <w:top w:w="0" w:type="dxa"/>
          <w:left w:w="108" w:type="dxa"/>
          <w:bottom w:w="0" w:type="dxa"/>
          <w:right w:w="108" w:type="dxa"/>
        </w:tblCellMar>
      </w:tblPr>
      <w:tblGrid>
        <w:gridCol w:w="568"/>
        <w:gridCol w:w="492"/>
        <w:gridCol w:w="417"/>
        <w:gridCol w:w="2510"/>
        <w:gridCol w:w="1684"/>
        <w:gridCol w:w="216"/>
        <w:gridCol w:w="1626"/>
        <w:gridCol w:w="1701"/>
      </w:tblGrid>
      <w:tr>
        <w:tblPrEx>
          <w:tblLayout w:type="fixed"/>
          <w:tblCellMar>
            <w:top w:w="0" w:type="dxa"/>
            <w:left w:w="108" w:type="dxa"/>
            <w:bottom w:w="0" w:type="dxa"/>
            <w:right w:w="108" w:type="dxa"/>
          </w:tblCellMar>
        </w:tblPrEx>
        <w:trPr>
          <w:trHeight w:val="450" w:hRule="atLeast"/>
        </w:trPr>
        <w:tc>
          <w:tcPr>
            <w:tcW w:w="9214" w:type="dxa"/>
            <w:gridSpan w:val="8"/>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5887" w:type="dxa"/>
            <w:gridSpan w:val="6"/>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1"/>
                <w:szCs w:val="21"/>
              </w:rPr>
              <w:t>编制部门（单位）：</w:t>
            </w:r>
            <w:r>
              <w:rPr>
                <w:rFonts w:hint="eastAsia" w:ascii="仿宋_GB2312" w:hAnsi="宋体" w:eastAsia="仿宋_GB2312"/>
                <w:kern w:val="0"/>
                <w:sz w:val="21"/>
                <w:szCs w:val="21"/>
                <w:lang w:eastAsia="zh-CN"/>
              </w:rPr>
              <w:t>克孜勒苏柯尔克孜自治州退役军人事务局</w:t>
            </w:r>
            <w:r>
              <w:rPr>
                <w:rFonts w:hint="eastAsia" w:ascii="仿宋_GB2312" w:hAnsi="宋体" w:eastAsia="仿宋_GB2312" w:cs="宋体"/>
                <w:color w:val="000000"/>
                <w:kern w:val="0"/>
                <w:sz w:val="21"/>
                <w:szCs w:val="21"/>
              </w:rPr>
              <w:t xml:space="preserve">  </w:t>
            </w: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vAlign w:val="center"/>
          </w:tcPr>
          <w:p>
            <w:pPr>
              <w:widowControl/>
              <w:ind w:right="360"/>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   目</w:t>
            </w:r>
          </w:p>
        </w:tc>
        <w:tc>
          <w:tcPr>
            <w:tcW w:w="5227"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  计</w:t>
            </w:r>
          </w:p>
        </w:tc>
        <w:tc>
          <w:tcPr>
            <w:tcW w:w="184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r>
              <w:rPr>
                <w:rFonts w:hint="eastAsia" w:ascii="宋体" w:hAnsi="宋体" w:cs="宋体"/>
                <w:color w:val="000000"/>
                <w:kern w:val="0"/>
                <w:sz w:val="20"/>
                <w:szCs w:val="20"/>
              </w:rPr>
              <w:t>208</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r>
              <w:rPr>
                <w:rFonts w:hint="eastAsia" w:ascii="宋体" w:hAnsi="宋体" w:cs="宋体"/>
                <w:color w:val="000000"/>
                <w:kern w:val="0"/>
                <w:sz w:val="20"/>
                <w:szCs w:val="20"/>
              </w:rPr>
              <w:t>28</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16"/>
                <w:szCs w:val="16"/>
              </w:rPr>
            </w:pPr>
            <w:r>
              <w:rPr>
                <w:rFonts w:hint="eastAsia" w:ascii="宋体" w:hAnsi="宋体" w:cs="宋体"/>
                <w:color w:val="000000"/>
                <w:kern w:val="0"/>
                <w:sz w:val="20"/>
                <w:szCs w:val="20"/>
              </w:rPr>
              <w:t>01</w:t>
            </w:r>
          </w:p>
        </w:tc>
        <w:tc>
          <w:tcPr>
            <w:tcW w:w="251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color w:val="000000"/>
                <w:kern w:val="0"/>
                <w:sz w:val="18"/>
                <w:szCs w:val="18"/>
              </w:rPr>
            </w:pPr>
            <w:r>
              <w:rPr>
                <w:rFonts w:ascii="宋体" w:hAnsi="宋体" w:cs="宋体"/>
                <w:color w:val="000000"/>
                <w:kern w:val="0"/>
                <w:sz w:val="20"/>
                <w:szCs w:val="20"/>
              </w:rPr>
              <w:t>行政运行</w:t>
            </w:r>
          </w:p>
        </w:tc>
        <w:tc>
          <w:tcPr>
            <w:tcW w:w="168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r>
              <w:rPr>
                <w:rFonts w:hint="eastAsia" w:ascii="宋体" w:hAnsi="宋体" w:cs="宋体"/>
                <w:color w:val="000000"/>
                <w:kern w:val="0"/>
                <w:sz w:val="20"/>
                <w:szCs w:val="20"/>
              </w:rPr>
              <w:t>835.34</w:t>
            </w:r>
          </w:p>
        </w:tc>
        <w:tc>
          <w:tcPr>
            <w:tcW w:w="1842"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r>
              <w:rPr>
                <w:rFonts w:hint="eastAsia" w:ascii="宋体" w:hAnsi="宋体" w:cs="宋体"/>
                <w:color w:val="000000"/>
                <w:kern w:val="0"/>
                <w:sz w:val="20"/>
                <w:szCs w:val="20"/>
              </w:rPr>
              <w:t>835.34</w:t>
            </w: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208</w:t>
            </w:r>
          </w:p>
        </w:tc>
        <w:tc>
          <w:tcPr>
            <w:tcW w:w="492"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28</w:t>
            </w:r>
          </w:p>
        </w:tc>
        <w:tc>
          <w:tcPr>
            <w:tcW w:w="417"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99</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b w:val="0"/>
                <w:bCs/>
                <w:color w:val="000000"/>
                <w:kern w:val="0"/>
                <w:sz w:val="20"/>
                <w:szCs w:val="20"/>
              </w:rPr>
            </w:pPr>
            <w:r>
              <w:rPr>
                <w:rFonts w:hint="eastAsia" w:ascii="宋体" w:hAnsi="宋体" w:cs="宋体"/>
                <w:color w:val="000000"/>
                <w:kern w:val="0"/>
                <w:sz w:val="18"/>
                <w:szCs w:val="18"/>
              </w:rPr>
              <w:t>其他退役军人事务管理支出</w:t>
            </w:r>
          </w:p>
        </w:tc>
        <w:tc>
          <w:tcPr>
            <w:tcW w:w="1684" w:type="dxa"/>
            <w:tcBorders>
              <w:top w:val="nil"/>
              <w:left w:val="nil"/>
              <w:bottom w:val="single" w:color="auto" w:sz="4" w:space="0"/>
              <w:right w:val="single" w:color="auto" w:sz="4" w:space="0"/>
            </w:tcBorders>
            <w:vAlign w:val="center"/>
          </w:tcPr>
          <w:p>
            <w:pPr>
              <w:widowControl/>
              <w:jc w:val="center"/>
              <w:rPr>
                <w:rFonts w:ascii="宋体" w:hAnsi="宋体" w:cs="宋体"/>
                <w:b w:val="0"/>
                <w:bCs/>
                <w:color w:val="000000"/>
                <w:kern w:val="0"/>
                <w:sz w:val="20"/>
                <w:szCs w:val="20"/>
              </w:rPr>
            </w:pPr>
            <w:r>
              <w:rPr>
                <w:rFonts w:hint="eastAsia" w:ascii="宋体" w:hAnsi="宋体" w:eastAsia="宋体" w:cs="宋体"/>
                <w:b w:val="0"/>
                <w:bCs/>
                <w:color w:val="000000"/>
                <w:kern w:val="0"/>
                <w:sz w:val="20"/>
                <w:szCs w:val="20"/>
              </w:rPr>
              <w:t>12.04</w:t>
            </w: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b w:val="0"/>
                <w:bCs/>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b w:val="0"/>
                <w:bCs/>
                <w:color w:val="000000"/>
                <w:kern w:val="0"/>
                <w:sz w:val="20"/>
                <w:szCs w:val="20"/>
              </w:rPr>
            </w:pPr>
            <w:r>
              <w:rPr>
                <w:rFonts w:hint="eastAsia" w:ascii="宋体" w:hAnsi="宋体" w:eastAsia="宋体" w:cs="宋体"/>
                <w:b w:val="0"/>
                <w:bCs/>
                <w:color w:val="000000"/>
                <w:kern w:val="0"/>
                <w:sz w:val="20"/>
                <w:szCs w:val="20"/>
              </w:rPr>
              <w:t>12.04</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6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8</w:t>
            </w:r>
            <w:r>
              <w:rPr>
                <w:rFonts w:hint="eastAsia" w:ascii="宋体" w:hAnsi="宋体" w:cs="宋体"/>
                <w:color w:val="000000"/>
                <w:kern w:val="0"/>
                <w:sz w:val="20"/>
                <w:szCs w:val="20"/>
              </w:rPr>
              <w:t>47.38</w:t>
            </w: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835.34</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12.04</w:t>
            </w:r>
          </w:p>
        </w:tc>
      </w:tr>
    </w:tbl>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328" w:type="dxa"/>
        <w:tblInd w:w="-148" w:type="dxa"/>
        <w:tblLayout w:type="fixed"/>
        <w:tblCellMar>
          <w:top w:w="0" w:type="dxa"/>
          <w:left w:w="108" w:type="dxa"/>
          <w:bottom w:w="0" w:type="dxa"/>
          <w:right w:w="108" w:type="dxa"/>
        </w:tblCellMar>
      </w:tblPr>
      <w:tblGrid>
        <w:gridCol w:w="757"/>
        <w:gridCol w:w="577"/>
        <w:gridCol w:w="2891"/>
        <w:gridCol w:w="1701"/>
        <w:gridCol w:w="976"/>
        <w:gridCol w:w="725"/>
        <w:gridCol w:w="1701"/>
      </w:tblGrid>
      <w:tr>
        <w:tblPrEx>
          <w:tblLayout w:type="fixed"/>
          <w:tblCellMar>
            <w:top w:w="0" w:type="dxa"/>
            <w:left w:w="108" w:type="dxa"/>
            <w:bottom w:w="0" w:type="dxa"/>
            <w:right w:w="108" w:type="dxa"/>
          </w:tblCellMar>
        </w:tblPrEx>
        <w:trPr>
          <w:trHeight w:val="375" w:hRule="atLeast"/>
        </w:trPr>
        <w:tc>
          <w:tcPr>
            <w:tcW w:w="9328" w:type="dxa"/>
            <w:gridSpan w:val="7"/>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05" w:hRule="atLeast"/>
        </w:trPr>
        <w:tc>
          <w:tcPr>
            <w:tcW w:w="6902" w:type="dxa"/>
            <w:gridSpan w:val="5"/>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w:t>
            </w:r>
            <w:r>
              <w:rPr>
                <w:rFonts w:hint="eastAsia" w:ascii="仿宋_GB2312" w:hAnsi="宋体" w:eastAsia="仿宋_GB2312"/>
                <w:kern w:val="0"/>
                <w:sz w:val="21"/>
                <w:szCs w:val="21"/>
                <w:lang w:eastAsia="zh-CN"/>
              </w:rPr>
              <w:t>克孜勒苏柯尔克孜自治州退役军人事务局</w:t>
            </w:r>
          </w:p>
        </w:tc>
        <w:tc>
          <w:tcPr>
            <w:tcW w:w="2426" w:type="dxa"/>
            <w:gridSpan w:val="2"/>
            <w:tcBorders>
              <w:top w:val="nil"/>
              <w:left w:val="nil"/>
              <w:bottom w:val="nil"/>
              <w:right w:val="nil"/>
            </w:tcBorders>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  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both"/>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42</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办公用品及设备采购</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0.6</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0.6</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both"/>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w:t>
            </w:r>
          </w:p>
        </w:tc>
        <w:tc>
          <w:tcPr>
            <w:tcW w:w="289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住房公积金</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10.23</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10.23</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05</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水费</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0.05</w:t>
            </w:r>
          </w:p>
        </w:tc>
        <w:tc>
          <w:tcPr>
            <w:tcW w:w="1701" w:type="dxa"/>
            <w:gridSpan w:val="2"/>
            <w:tcBorders>
              <w:top w:val="nil"/>
              <w:left w:val="nil"/>
              <w:bottom w:val="single" w:color="auto" w:sz="4" w:space="0"/>
              <w:right w:val="single" w:color="auto" w:sz="4" w:space="0"/>
            </w:tcBorders>
            <w:vAlign w:val="center"/>
          </w:tcPr>
          <w:p>
            <w:pPr>
              <w:widowControl/>
              <w:ind w:right="147" w:rightChars="70"/>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0.05</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29</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福利费</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1.12</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1.12</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303</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99</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其他对个人和家庭的补助</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4.32</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4.32</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01</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基本工资</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45.77</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45.77</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03</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奖金</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机关事业单位基本养老保险缴费</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14.39</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14.39</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31</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公务用车运行维护费</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06</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电费</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07</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邮电费</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0.8</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0.8</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303</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02</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退休费</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602.79</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602.79</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02</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印刷费</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02</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津贴补贴</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57.6</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57.6</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01</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办公费</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11</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差旅费</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0．5</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0.5</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303</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05</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生活补助</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23.58</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23.58</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303</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09</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奖励金</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0.01</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0.01</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301</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其他社会保障缴费</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65.49</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65.49</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302</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28</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工会经费</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0.62</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0.62</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835.34</w:t>
            </w:r>
          </w:p>
        </w:tc>
        <w:tc>
          <w:tcPr>
            <w:tcW w:w="170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828.19</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7.15</w:t>
            </w:r>
          </w:p>
        </w:tc>
      </w:tr>
    </w:tbl>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40" w:type="dxa"/>
        <w:tblInd w:w="-360" w:type="dxa"/>
        <w:tblLayout w:type="fixed"/>
        <w:tblCellMar>
          <w:top w:w="0" w:type="dxa"/>
          <w:left w:w="108" w:type="dxa"/>
          <w:bottom w:w="0" w:type="dxa"/>
          <w:right w:w="108" w:type="dxa"/>
        </w:tblCellMar>
      </w:tblPr>
      <w:tblGrid>
        <w:gridCol w:w="8"/>
        <w:gridCol w:w="460"/>
        <w:gridCol w:w="426"/>
        <w:gridCol w:w="425"/>
        <w:gridCol w:w="850"/>
        <w:gridCol w:w="1329"/>
        <w:gridCol w:w="750"/>
        <w:gridCol w:w="569"/>
        <w:gridCol w:w="536"/>
        <w:gridCol w:w="652"/>
        <w:gridCol w:w="652"/>
        <w:gridCol w:w="378"/>
        <w:gridCol w:w="200"/>
        <w:gridCol w:w="419"/>
        <w:gridCol w:w="578"/>
        <w:gridCol w:w="420"/>
        <w:gridCol w:w="420"/>
        <w:gridCol w:w="389"/>
        <w:gridCol w:w="79"/>
      </w:tblGrid>
      <w:tr>
        <w:tblPrEx>
          <w:tblLayout w:type="fixed"/>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7"/>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一般公共预算项目支出情况表</w:t>
            </w:r>
          </w:p>
        </w:tc>
      </w:tr>
      <w:tr>
        <w:tblPrEx>
          <w:tblLayout w:type="fixed"/>
          <w:tblCellMar>
            <w:top w:w="0" w:type="dxa"/>
            <w:left w:w="108" w:type="dxa"/>
            <w:bottom w:w="0" w:type="dxa"/>
            <w:right w:w="108" w:type="dxa"/>
          </w:tblCellMar>
        </w:tblPrEx>
        <w:trPr>
          <w:gridBefore w:val="1"/>
          <w:gridAfter w:val="1"/>
          <w:wBefore w:w="8" w:type="dxa"/>
          <w:wAfter w:w="79" w:type="dxa"/>
          <w:trHeight w:val="405" w:hRule="atLeast"/>
        </w:trPr>
        <w:tc>
          <w:tcPr>
            <w:tcW w:w="7027" w:type="dxa"/>
            <w:gridSpan w:val="11"/>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w:t>
            </w:r>
            <w:r>
              <w:rPr>
                <w:rFonts w:hint="eastAsia" w:ascii="仿宋_GB2312" w:hAnsi="宋体" w:eastAsia="仿宋_GB2312"/>
                <w:kern w:val="0"/>
                <w:sz w:val="21"/>
                <w:szCs w:val="21"/>
                <w:lang w:eastAsia="zh-CN"/>
              </w:rPr>
              <w:t>克孜勒苏柯尔克孜自治州退役军人事务局</w:t>
            </w:r>
          </w:p>
        </w:tc>
        <w:tc>
          <w:tcPr>
            <w:tcW w:w="2426" w:type="dxa"/>
            <w:gridSpan w:val="6"/>
            <w:tcBorders>
              <w:top w:val="nil"/>
              <w:left w:val="nil"/>
              <w:bottom w:val="nil"/>
              <w:right w:val="nil"/>
            </w:tcBorders>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319" w:type="dxa"/>
            <w:gridSpan w:val="4"/>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329" w:type="dxa"/>
            <w:vMerge w:val="restart"/>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468" w:type="dxa"/>
            <w:gridSpan w:val="2"/>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26"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25"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0"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rPr>
            </w:pPr>
          </w:p>
        </w:tc>
        <w:tc>
          <w:tcPr>
            <w:tcW w:w="132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6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68" w:type="dxa"/>
            <w:gridSpan w:val="2"/>
            <w:vAlign w:val="top"/>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208</w:t>
            </w:r>
          </w:p>
        </w:tc>
        <w:tc>
          <w:tcPr>
            <w:tcW w:w="426" w:type="dxa"/>
            <w:vAlign w:val="top"/>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6"/>
                <w:szCs w:val="16"/>
              </w:rPr>
              <w:t>28</w:t>
            </w:r>
          </w:p>
        </w:tc>
        <w:tc>
          <w:tcPr>
            <w:tcW w:w="425" w:type="dxa"/>
            <w:vAlign w:val="top"/>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6"/>
                <w:szCs w:val="16"/>
              </w:rPr>
              <w:t>99</w:t>
            </w:r>
          </w:p>
        </w:tc>
        <w:tc>
          <w:tcPr>
            <w:tcW w:w="850" w:type="dxa"/>
            <w:vAlign w:val="top"/>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其他退役军人事务管理支出</w:t>
            </w:r>
          </w:p>
        </w:tc>
        <w:tc>
          <w:tcPr>
            <w:tcW w:w="1329" w:type="dxa"/>
            <w:vAlign w:val="top"/>
          </w:tcPr>
          <w:p>
            <w:pPr>
              <w:widowControl/>
              <w:jc w:val="left"/>
              <w:outlineLvl w:val="1"/>
              <w:rPr>
                <w:rFonts w:ascii="仿宋_GB2312" w:hAnsi="宋体" w:eastAsia="仿宋_GB2312"/>
                <w:kern w:val="0"/>
                <w:sz w:val="16"/>
                <w:szCs w:val="16"/>
              </w:rPr>
            </w:pPr>
            <w:r>
              <w:rPr>
                <w:rFonts w:hint="eastAsia" w:ascii="仿宋_GB2312" w:hAnsi="宋体" w:eastAsia="仿宋_GB2312"/>
                <w:kern w:val="0"/>
                <w:sz w:val="16"/>
                <w:szCs w:val="16"/>
              </w:rPr>
              <w:t>退役军人事务工作经费</w:t>
            </w:r>
          </w:p>
        </w:tc>
        <w:tc>
          <w:tcPr>
            <w:tcW w:w="750" w:type="dxa"/>
            <w:vAlign w:val="top"/>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6"/>
                <w:szCs w:val="16"/>
              </w:rPr>
              <w:t>10</w:t>
            </w:r>
          </w:p>
        </w:tc>
        <w:tc>
          <w:tcPr>
            <w:tcW w:w="569" w:type="dxa"/>
            <w:vAlign w:val="top"/>
          </w:tcPr>
          <w:p>
            <w:pPr>
              <w:widowControl/>
              <w:jc w:val="left"/>
              <w:outlineLvl w:val="1"/>
              <w:rPr>
                <w:rFonts w:ascii="仿宋_GB2312" w:hAnsi="宋体" w:eastAsia="仿宋_GB2312"/>
                <w:kern w:val="0"/>
                <w:sz w:val="32"/>
                <w:szCs w:val="32"/>
              </w:rPr>
            </w:pPr>
          </w:p>
        </w:tc>
        <w:tc>
          <w:tcPr>
            <w:tcW w:w="5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16"/>
                <w:szCs w:val="16"/>
              </w:rPr>
              <w:t>10</w:t>
            </w:r>
          </w:p>
        </w:tc>
        <w:tc>
          <w:tcPr>
            <w:tcW w:w="652" w:type="dxa"/>
          </w:tcPr>
          <w:p>
            <w:pPr>
              <w:widowControl/>
              <w:jc w:val="left"/>
              <w:outlineLvl w:val="1"/>
              <w:rPr>
                <w:rFonts w:ascii="仿宋_GB2312" w:hAnsi="宋体" w:eastAsia="仿宋_GB2312"/>
                <w:kern w:val="0"/>
                <w:sz w:val="18"/>
                <w:szCs w:val="18"/>
              </w:rPr>
            </w:pP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68" w:type="dxa"/>
            <w:gridSpan w:val="2"/>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16"/>
                <w:szCs w:val="16"/>
              </w:rPr>
              <w:t>208</w:t>
            </w:r>
          </w:p>
        </w:tc>
        <w:tc>
          <w:tcPr>
            <w:tcW w:w="42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18"/>
                <w:szCs w:val="18"/>
              </w:rPr>
              <w:t>28</w:t>
            </w:r>
          </w:p>
        </w:tc>
        <w:tc>
          <w:tcPr>
            <w:tcW w:w="425"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18"/>
                <w:szCs w:val="18"/>
              </w:rPr>
              <w:t>99</w:t>
            </w:r>
          </w:p>
        </w:tc>
        <w:tc>
          <w:tcPr>
            <w:tcW w:w="8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16"/>
                <w:szCs w:val="16"/>
              </w:rPr>
              <w:t>其他退役军人事务管理支出</w:t>
            </w:r>
          </w:p>
        </w:tc>
        <w:tc>
          <w:tcPr>
            <w:tcW w:w="132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16"/>
                <w:szCs w:val="16"/>
              </w:rPr>
              <w:t>军休干部降温和军粮差价补贴</w:t>
            </w:r>
          </w:p>
        </w:tc>
        <w:tc>
          <w:tcPr>
            <w:tcW w:w="750"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18"/>
                <w:szCs w:val="18"/>
              </w:rPr>
              <w:t>2.04</w:t>
            </w:r>
          </w:p>
        </w:tc>
        <w:tc>
          <w:tcPr>
            <w:tcW w:w="569"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vAlign w:val="top"/>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18"/>
                <w:szCs w:val="18"/>
              </w:rPr>
              <w:t>2.04</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2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2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68" w:type="dxa"/>
            <w:gridSpan w:val="2"/>
          </w:tcPr>
          <w:p>
            <w:pPr>
              <w:widowControl/>
              <w:jc w:val="left"/>
              <w:outlineLvl w:val="1"/>
              <w:rPr>
                <w:rFonts w:hint="eastAsia" w:ascii="仿宋_GB2312" w:hAnsi="宋体" w:eastAsia="仿宋_GB2312"/>
                <w:kern w:val="0"/>
                <w:sz w:val="32"/>
                <w:szCs w:val="32"/>
              </w:rPr>
            </w:pPr>
          </w:p>
        </w:tc>
        <w:tc>
          <w:tcPr>
            <w:tcW w:w="426" w:type="dxa"/>
          </w:tcPr>
          <w:p>
            <w:pPr>
              <w:widowControl/>
              <w:jc w:val="left"/>
              <w:outlineLvl w:val="1"/>
              <w:rPr>
                <w:rFonts w:hint="eastAsia" w:ascii="仿宋_GB2312" w:hAnsi="宋体" w:eastAsia="仿宋_GB2312"/>
                <w:kern w:val="0"/>
                <w:sz w:val="32"/>
                <w:szCs w:val="32"/>
              </w:rPr>
            </w:pPr>
          </w:p>
        </w:tc>
        <w:tc>
          <w:tcPr>
            <w:tcW w:w="425" w:type="dxa"/>
          </w:tcPr>
          <w:p>
            <w:pPr>
              <w:widowControl/>
              <w:jc w:val="left"/>
              <w:outlineLvl w:val="1"/>
              <w:rPr>
                <w:rFonts w:hint="eastAsia" w:ascii="仿宋_GB2312" w:hAnsi="宋体" w:eastAsia="仿宋_GB2312"/>
                <w:kern w:val="0"/>
                <w:sz w:val="32"/>
                <w:szCs w:val="32"/>
              </w:rPr>
            </w:pPr>
          </w:p>
        </w:tc>
        <w:tc>
          <w:tcPr>
            <w:tcW w:w="850" w:type="dxa"/>
          </w:tcPr>
          <w:p>
            <w:pPr>
              <w:widowControl/>
              <w:jc w:val="left"/>
              <w:outlineLvl w:val="1"/>
              <w:rPr>
                <w:rFonts w:hint="eastAsia" w:ascii="仿宋_GB2312" w:hAnsi="宋体" w:eastAsia="仿宋_GB2312"/>
                <w:kern w:val="0"/>
                <w:sz w:val="32"/>
                <w:szCs w:val="32"/>
              </w:rPr>
            </w:pPr>
          </w:p>
        </w:tc>
        <w:tc>
          <w:tcPr>
            <w:tcW w:w="1329" w:type="dxa"/>
          </w:tcPr>
          <w:p>
            <w:pPr>
              <w:widowControl/>
              <w:jc w:val="left"/>
              <w:outlineLvl w:val="1"/>
              <w:rPr>
                <w:rFonts w:hint="eastAsia" w:ascii="仿宋_GB2312" w:hAnsi="宋体" w:eastAsia="仿宋_GB2312"/>
                <w:kern w:val="0"/>
                <w:sz w:val="32"/>
                <w:szCs w:val="32"/>
              </w:rPr>
            </w:pPr>
          </w:p>
        </w:tc>
        <w:tc>
          <w:tcPr>
            <w:tcW w:w="750" w:type="dxa"/>
          </w:tcPr>
          <w:p>
            <w:pPr>
              <w:widowControl/>
              <w:jc w:val="left"/>
              <w:outlineLvl w:val="1"/>
              <w:rPr>
                <w:rFonts w:hint="eastAsia" w:ascii="仿宋_GB2312" w:hAnsi="宋体" w:eastAsia="仿宋_GB2312"/>
                <w:kern w:val="0"/>
                <w:sz w:val="32"/>
                <w:szCs w:val="32"/>
              </w:rPr>
            </w:pPr>
          </w:p>
        </w:tc>
        <w:tc>
          <w:tcPr>
            <w:tcW w:w="569" w:type="dxa"/>
          </w:tcPr>
          <w:p>
            <w:pPr>
              <w:widowControl/>
              <w:jc w:val="left"/>
              <w:outlineLvl w:val="1"/>
              <w:rPr>
                <w:rFonts w:hint="eastAsia" w:ascii="仿宋_GB2312" w:hAnsi="宋体" w:eastAsia="仿宋_GB2312"/>
                <w:kern w:val="0"/>
                <w:sz w:val="32"/>
                <w:szCs w:val="32"/>
              </w:rPr>
            </w:pPr>
          </w:p>
        </w:tc>
        <w:tc>
          <w:tcPr>
            <w:tcW w:w="536" w:type="dxa"/>
          </w:tcPr>
          <w:p>
            <w:pPr>
              <w:widowControl/>
              <w:jc w:val="left"/>
              <w:outlineLvl w:val="1"/>
              <w:rPr>
                <w:rFonts w:hint="eastAsia" w:ascii="仿宋_GB2312" w:hAnsi="宋体" w:eastAsia="仿宋_GB2312"/>
                <w:kern w:val="0"/>
                <w:sz w:val="32"/>
                <w:szCs w:val="32"/>
              </w:rPr>
            </w:pPr>
          </w:p>
        </w:tc>
        <w:tc>
          <w:tcPr>
            <w:tcW w:w="652" w:type="dxa"/>
          </w:tcPr>
          <w:p>
            <w:pPr>
              <w:widowControl/>
              <w:jc w:val="left"/>
              <w:outlineLvl w:val="1"/>
              <w:rPr>
                <w:rFonts w:hint="eastAsia" w:ascii="仿宋_GB2312" w:hAnsi="宋体" w:eastAsia="仿宋_GB2312"/>
                <w:kern w:val="0"/>
                <w:sz w:val="32"/>
                <w:szCs w:val="32"/>
              </w:rPr>
            </w:pPr>
          </w:p>
        </w:tc>
        <w:tc>
          <w:tcPr>
            <w:tcW w:w="652" w:type="dxa"/>
          </w:tcPr>
          <w:p>
            <w:pPr>
              <w:widowControl/>
              <w:jc w:val="left"/>
              <w:outlineLvl w:val="1"/>
              <w:rPr>
                <w:rFonts w:hint="eastAsia" w:ascii="仿宋_GB2312" w:hAnsi="宋体" w:eastAsia="仿宋_GB2312"/>
                <w:kern w:val="0"/>
                <w:sz w:val="32"/>
                <w:szCs w:val="32"/>
              </w:rPr>
            </w:pPr>
          </w:p>
        </w:tc>
        <w:tc>
          <w:tcPr>
            <w:tcW w:w="578" w:type="dxa"/>
            <w:gridSpan w:val="2"/>
          </w:tcPr>
          <w:p>
            <w:pPr>
              <w:widowControl/>
              <w:jc w:val="left"/>
              <w:outlineLvl w:val="1"/>
              <w:rPr>
                <w:rFonts w:hint="eastAsia" w:ascii="仿宋_GB2312" w:hAnsi="宋体" w:eastAsia="仿宋_GB2312"/>
                <w:kern w:val="0"/>
                <w:sz w:val="32"/>
                <w:szCs w:val="32"/>
              </w:rPr>
            </w:pPr>
          </w:p>
        </w:tc>
        <w:tc>
          <w:tcPr>
            <w:tcW w:w="419" w:type="dxa"/>
          </w:tcPr>
          <w:p>
            <w:pPr>
              <w:widowControl/>
              <w:jc w:val="left"/>
              <w:outlineLvl w:val="1"/>
              <w:rPr>
                <w:rFonts w:hint="eastAsia" w:ascii="仿宋_GB2312" w:hAnsi="宋体" w:eastAsia="仿宋_GB2312"/>
                <w:kern w:val="0"/>
                <w:sz w:val="32"/>
                <w:szCs w:val="32"/>
              </w:rPr>
            </w:pPr>
          </w:p>
        </w:tc>
        <w:tc>
          <w:tcPr>
            <w:tcW w:w="578" w:type="dxa"/>
          </w:tcPr>
          <w:p>
            <w:pPr>
              <w:widowControl/>
              <w:jc w:val="left"/>
              <w:outlineLvl w:val="1"/>
              <w:rPr>
                <w:rFonts w:hint="eastAsia" w:ascii="仿宋_GB2312" w:hAnsi="宋体" w:eastAsia="仿宋_GB2312"/>
                <w:kern w:val="0"/>
                <w:sz w:val="32"/>
                <w:szCs w:val="32"/>
              </w:rPr>
            </w:pPr>
          </w:p>
        </w:tc>
        <w:tc>
          <w:tcPr>
            <w:tcW w:w="420" w:type="dxa"/>
          </w:tcPr>
          <w:p>
            <w:pPr>
              <w:widowControl/>
              <w:jc w:val="left"/>
              <w:outlineLvl w:val="1"/>
              <w:rPr>
                <w:rFonts w:hint="eastAsia" w:ascii="仿宋_GB2312" w:hAnsi="宋体" w:eastAsia="仿宋_GB2312"/>
                <w:kern w:val="0"/>
                <w:sz w:val="32"/>
                <w:szCs w:val="32"/>
              </w:rPr>
            </w:pPr>
          </w:p>
        </w:tc>
        <w:tc>
          <w:tcPr>
            <w:tcW w:w="420" w:type="dxa"/>
          </w:tcPr>
          <w:p>
            <w:pPr>
              <w:widowControl/>
              <w:jc w:val="left"/>
              <w:outlineLvl w:val="1"/>
              <w:rPr>
                <w:rFonts w:hint="eastAsia" w:ascii="仿宋_GB2312" w:hAnsi="宋体" w:eastAsia="仿宋_GB2312"/>
                <w:kern w:val="0"/>
                <w:sz w:val="32"/>
                <w:szCs w:val="32"/>
              </w:rPr>
            </w:pPr>
          </w:p>
        </w:tc>
        <w:tc>
          <w:tcPr>
            <w:tcW w:w="468" w:type="dxa"/>
            <w:gridSpan w:val="2"/>
          </w:tcPr>
          <w:p>
            <w:pPr>
              <w:widowControl/>
              <w:jc w:val="left"/>
              <w:outlineLvl w:val="1"/>
              <w:rPr>
                <w:rFonts w:hint="eastAsia"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68" w:type="dxa"/>
            <w:gridSpan w:val="2"/>
          </w:tcPr>
          <w:p>
            <w:pPr>
              <w:widowControl/>
              <w:jc w:val="left"/>
              <w:outlineLvl w:val="1"/>
              <w:rPr>
                <w:rFonts w:hint="eastAsia" w:ascii="仿宋_GB2312" w:hAnsi="宋体" w:eastAsia="仿宋_GB2312"/>
                <w:kern w:val="0"/>
                <w:sz w:val="32"/>
                <w:szCs w:val="32"/>
              </w:rPr>
            </w:pPr>
          </w:p>
        </w:tc>
        <w:tc>
          <w:tcPr>
            <w:tcW w:w="426" w:type="dxa"/>
          </w:tcPr>
          <w:p>
            <w:pPr>
              <w:widowControl/>
              <w:jc w:val="left"/>
              <w:outlineLvl w:val="1"/>
              <w:rPr>
                <w:rFonts w:hint="eastAsia" w:ascii="仿宋_GB2312" w:hAnsi="宋体" w:eastAsia="仿宋_GB2312"/>
                <w:kern w:val="0"/>
                <w:sz w:val="32"/>
                <w:szCs w:val="32"/>
              </w:rPr>
            </w:pPr>
          </w:p>
        </w:tc>
        <w:tc>
          <w:tcPr>
            <w:tcW w:w="425" w:type="dxa"/>
          </w:tcPr>
          <w:p>
            <w:pPr>
              <w:widowControl/>
              <w:jc w:val="left"/>
              <w:outlineLvl w:val="1"/>
              <w:rPr>
                <w:rFonts w:hint="eastAsia" w:ascii="仿宋_GB2312" w:hAnsi="宋体" w:eastAsia="仿宋_GB2312"/>
                <w:kern w:val="0"/>
                <w:sz w:val="32"/>
                <w:szCs w:val="32"/>
              </w:rPr>
            </w:pPr>
          </w:p>
        </w:tc>
        <w:tc>
          <w:tcPr>
            <w:tcW w:w="850" w:type="dxa"/>
          </w:tcPr>
          <w:p>
            <w:pPr>
              <w:widowControl/>
              <w:jc w:val="left"/>
              <w:outlineLvl w:val="1"/>
              <w:rPr>
                <w:rFonts w:hint="eastAsia" w:ascii="仿宋_GB2312" w:hAnsi="宋体" w:eastAsia="仿宋_GB2312"/>
                <w:kern w:val="0"/>
                <w:sz w:val="32"/>
                <w:szCs w:val="32"/>
              </w:rPr>
            </w:pPr>
          </w:p>
        </w:tc>
        <w:tc>
          <w:tcPr>
            <w:tcW w:w="1329" w:type="dxa"/>
          </w:tcPr>
          <w:p>
            <w:pPr>
              <w:widowControl/>
              <w:jc w:val="left"/>
              <w:outlineLvl w:val="1"/>
              <w:rPr>
                <w:rFonts w:hint="eastAsia" w:ascii="仿宋_GB2312" w:hAnsi="宋体" w:eastAsia="仿宋_GB2312"/>
                <w:kern w:val="0"/>
                <w:sz w:val="32"/>
                <w:szCs w:val="32"/>
              </w:rPr>
            </w:pPr>
          </w:p>
        </w:tc>
        <w:tc>
          <w:tcPr>
            <w:tcW w:w="750" w:type="dxa"/>
          </w:tcPr>
          <w:p>
            <w:pPr>
              <w:widowControl/>
              <w:jc w:val="left"/>
              <w:outlineLvl w:val="1"/>
              <w:rPr>
                <w:rFonts w:hint="eastAsia" w:ascii="仿宋_GB2312" w:hAnsi="宋体" w:eastAsia="仿宋_GB2312"/>
                <w:kern w:val="0"/>
                <w:sz w:val="32"/>
                <w:szCs w:val="32"/>
              </w:rPr>
            </w:pPr>
          </w:p>
        </w:tc>
        <w:tc>
          <w:tcPr>
            <w:tcW w:w="569" w:type="dxa"/>
          </w:tcPr>
          <w:p>
            <w:pPr>
              <w:widowControl/>
              <w:jc w:val="left"/>
              <w:outlineLvl w:val="1"/>
              <w:rPr>
                <w:rFonts w:hint="eastAsia" w:ascii="仿宋_GB2312" w:hAnsi="宋体" w:eastAsia="仿宋_GB2312"/>
                <w:kern w:val="0"/>
                <w:sz w:val="32"/>
                <w:szCs w:val="32"/>
              </w:rPr>
            </w:pPr>
          </w:p>
        </w:tc>
        <w:tc>
          <w:tcPr>
            <w:tcW w:w="536" w:type="dxa"/>
          </w:tcPr>
          <w:p>
            <w:pPr>
              <w:widowControl/>
              <w:jc w:val="left"/>
              <w:outlineLvl w:val="1"/>
              <w:rPr>
                <w:rFonts w:hint="eastAsia" w:ascii="仿宋_GB2312" w:hAnsi="宋体" w:eastAsia="仿宋_GB2312"/>
                <w:kern w:val="0"/>
                <w:sz w:val="32"/>
                <w:szCs w:val="32"/>
              </w:rPr>
            </w:pPr>
          </w:p>
        </w:tc>
        <w:tc>
          <w:tcPr>
            <w:tcW w:w="652" w:type="dxa"/>
          </w:tcPr>
          <w:p>
            <w:pPr>
              <w:widowControl/>
              <w:jc w:val="left"/>
              <w:outlineLvl w:val="1"/>
              <w:rPr>
                <w:rFonts w:hint="eastAsia" w:ascii="仿宋_GB2312" w:hAnsi="宋体" w:eastAsia="仿宋_GB2312"/>
                <w:kern w:val="0"/>
                <w:sz w:val="32"/>
                <w:szCs w:val="32"/>
              </w:rPr>
            </w:pPr>
          </w:p>
        </w:tc>
        <w:tc>
          <w:tcPr>
            <w:tcW w:w="652" w:type="dxa"/>
          </w:tcPr>
          <w:p>
            <w:pPr>
              <w:widowControl/>
              <w:jc w:val="left"/>
              <w:outlineLvl w:val="1"/>
              <w:rPr>
                <w:rFonts w:hint="eastAsia" w:ascii="仿宋_GB2312" w:hAnsi="宋体" w:eastAsia="仿宋_GB2312"/>
                <w:kern w:val="0"/>
                <w:sz w:val="32"/>
                <w:szCs w:val="32"/>
              </w:rPr>
            </w:pPr>
          </w:p>
        </w:tc>
        <w:tc>
          <w:tcPr>
            <w:tcW w:w="578" w:type="dxa"/>
            <w:gridSpan w:val="2"/>
          </w:tcPr>
          <w:p>
            <w:pPr>
              <w:widowControl/>
              <w:jc w:val="left"/>
              <w:outlineLvl w:val="1"/>
              <w:rPr>
                <w:rFonts w:hint="eastAsia" w:ascii="仿宋_GB2312" w:hAnsi="宋体" w:eastAsia="仿宋_GB2312"/>
                <w:kern w:val="0"/>
                <w:sz w:val="32"/>
                <w:szCs w:val="32"/>
              </w:rPr>
            </w:pPr>
          </w:p>
        </w:tc>
        <w:tc>
          <w:tcPr>
            <w:tcW w:w="419" w:type="dxa"/>
          </w:tcPr>
          <w:p>
            <w:pPr>
              <w:widowControl/>
              <w:jc w:val="left"/>
              <w:outlineLvl w:val="1"/>
              <w:rPr>
                <w:rFonts w:hint="eastAsia" w:ascii="仿宋_GB2312" w:hAnsi="宋体" w:eastAsia="仿宋_GB2312"/>
                <w:kern w:val="0"/>
                <w:sz w:val="32"/>
                <w:szCs w:val="32"/>
              </w:rPr>
            </w:pPr>
          </w:p>
        </w:tc>
        <w:tc>
          <w:tcPr>
            <w:tcW w:w="578" w:type="dxa"/>
          </w:tcPr>
          <w:p>
            <w:pPr>
              <w:widowControl/>
              <w:jc w:val="left"/>
              <w:outlineLvl w:val="1"/>
              <w:rPr>
                <w:rFonts w:hint="eastAsia" w:ascii="仿宋_GB2312" w:hAnsi="宋体" w:eastAsia="仿宋_GB2312"/>
                <w:kern w:val="0"/>
                <w:sz w:val="32"/>
                <w:szCs w:val="32"/>
              </w:rPr>
            </w:pPr>
          </w:p>
        </w:tc>
        <w:tc>
          <w:tcPr>
            <w:tcW w:w="420" w:type="dxa"/>
          </w:tcPr>
          <w:p>
            <w:pPr>
              <w:widowControl/>
              <w:jc w:val="left"/>
              <w:outlineLvl w:val="1"/>
              <w:rPr>
                <w:rFonts w:hint="eastAsia" w:ascii="仿宋_GB2312" w:hAnsi="宋体" w:eastAsia="仿宋_GB2312"/>
                <w:kern w:val="0"/>
                <w:sz w:val="32"/>
                <w:szCs w:val="32"/>
              </w:rPr>
            </w:pPr>
          </w:p>
        </w:tc>
        <w:tc>
          <w:tcPr>
            <w:tcW w:w="420" w:type="dxa"/>
          </w:tcPr>
          <w:p>
            <w:pPr>
              <w:widowControl/>
              <w:jc w:val="left"/>
              <w:outlineLvl w:val="1"/>
              <w:rPr>
                <w:rFonts w:hint="eastAsia" w:ascii="仿宋_GB2312" w:hAnsi="宋体" w:eastAsia="仿宋_GB2312"/>
                <w:kern w:val="0"/>
                <w:sz w:val="32"/>
                <w:szCs w:val="32"/>
              </w:rPr>
            </w:pPr>
          </w:p>
        </w:tc>
        <w:tc>
          <w:tcPr>
            <w:tcW w:w="468" w:type="dxa"/>
            <w:gridSpan w:val="2"/>
          </w:tcPr>
          <w:p>
            <w:pPr>
              <w:widowControl/>
              <w:jc w:val="left"/>
              <w:outlineLvl w:val="1"/>
              <w:rPr>
                <w:rFonts w:hint="eastAsia"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68" w:type="dxa"/>
            <w:gridSpan w:val="2"/>
          </w:tcPr>
          <w:p>
            <w:pPr>
              <w:widowControl/>
              <w:jc w:val="left"/>
              <w:outlineLvl w:val="1"/>
              <w:rPr>
                <w:rFonts w:hint="eastAsia" w:ascii="仿宋_GB2312" w:hAnsi="宋体" w:eastAsia="仿宋_GB2312"/>
                <w:kern w:val="0"/>
                <w:sz w:val="32"/>
                <w:szCs w:val="32"/>
              </w:rPr>
            </w:pPr>
          </w:p>
        </w:tc>
        <w:tc>
          <w:tcPr>
            <w:tcW w:w="426" w:type="dxa"/>
          </w:tcPr>
          <w:p>
            <w:pPr>
              <w:widowControl/>
              <w:jc w:val="left"/>
              <w:outlineLvl w:val="1"/>
              <w:rPr>
                <w:rFonts w:hint="eastAsia" w:ascii="仿宋_GB2312" w:hAnsi="宋体" w:eastAsia="仿宋_GB2312"/>
                <w:kern w:val="0"/>
                <w:sz w:val="32"/>
                <w:szCs w:val="32"/>
              </w:rPr>
            </w:pPr>
          </w:p>
        </w:tc>
        <w:tc>
          <w:tcPr>
            <w:tcW w:w="425" w:type="dxa"/>
          </w:tcPr>
          <w:p>
            <w:pPr>
              <w:widowControl/>
              <w:jc w:val="left"/>
              <w:outlineLvl w:val="1"/>
              <w:rPr>
                <w:rFonts w:hint="eastAsia" w:ascii="仿宋_GB2312" w:hAnsi="宋体" w:eastAsia="仿宋_GB2312"/>
                <w:kern w:val="0"/>
                <w:sz w:val="32"/>
                <w:szCs w:val="32"/>
              </w:rPr>
            </w:pPr>
          </w:p>
        </w:tc>
        <w:tc>
          <w:tcPr>
            <w:tcW w:w="850" w:type="dxa"/>
          </w:tcPr>
          <w:p>
            <w:pPr>
              <w:widowControl/>
              <w:jc w:val="left"/>
              <w:outlineLvl w:val="1"/>
              <w:rPr>
                <w:rFonts w:hint="eastAsia" w:ascii="仿宋_GB2312" w:hAnsi="宋体" w:eastAsia="仿宋_GB2312"/>
                <w:kern w:val="0"/>
                <w:sz w:val="32"/>
                <w:szCs w:val="32"/>
              </w:rPr>
            </w:pPr>
          </w:p>
        </w:tc>
        <w:tc>
          <w:tcPr>
            <w:tcW w:w="1329" w:type="dxa"/>
          </w:tcPr>
          <w:p>
            <w:pPr>
              <w:widowControl/>
              <w:jc w:val="left"/>
              <w:outlineLvl w:val="1"/>
              <w:rPr>
                <w:rFonts w:hint="eastAsia" w:ascii="仿宋_GB2312" w:hAnsi="宋体" w:eastAsia="仿宋_GB2312"/>
                <w:kern w:val="0"/>
                <w:sz w:val="32"/>
                <w:szCs w:val="32"/>
              </w:rPr>
            </w:pPr>
          </w:p>
        </w:tc>
        <w:tc>
          <w:tcPr>
            <w:tcW w:w="750" w:type="dxa"/>
          </w:tcPr>
          <w:p>
            <w:pPr>
              <w:widowControl/>
              <w:jc w:val="left"/>
              <w:outlineLvl w:val="1"/>
              <w:rPr>
                <w:rFonts w:hint="eastAsia" w:ascii="仿宋_GB2312" w:hAnsi="宋体" w:eastAsia="仿宋_GB2312"/>
                <w:kern w:val="0"/>
                <w:sz w:val="32"/>
                <w:szCs w:val="32"/>
              </w:rPr>
            </w:pPr>
          </w:p>
        </w:tc>
        <w:tc>
          <w:tcPr>
            <w:tcW w:w="569" w:type="dxa"/>
          </w:tcPr>
          <w:p>
            <w:pPr>
              <w:widowControl/>
              <w:jc w:val="left"/>
              <w:outlineLvl w:val="1"/>
              <w:rPr>
                <w:rFonts w:hint="eastAsia" w:ascii="仿宋_GB2312" w:hAnsi="宋体" w:eastAsia="仿宋_GB2312"/>
                <w:kern w:val="0"/>
                <w:sz w:val="32"/>
                <w:szCs w:val="32"/>
              </w:rPr>
            </w:pPr>
          </w:p>
        </w:tc>
        <w:tc>
          <w:tcPr>
            <w:tcW w:w="536" w:type="dxa"/>
          </w:tcPr>
          <w:p>
            <w:pPr>
              <w:widowControl/>
              <w:jc w:val="left"/>
              <w:outlineLvl w:val="1"/>
              <w:rPr>
                <w:rFonts w:hint="eastAsia" w:ascii="仿宋_GB2312" w:hAnsi="宋体" w:eastAsia="仿宋_GB2312"/>
                <w:kern w:val="0"/>
                <w:sz w:val="32"/>
                <w:szCs w:val="32"/>
              </w:rPr>
            </w:pPr>
          </w:p>
        </w:tc>
        <w:tc>
          <w:tcPr>
            <w:tcW w:w="652" w:type="dxa"/>
          </w:tcPr>
          <w:p>
            <w:pPr>
              <w:widowControl/>
              <w:jc w:val="left"/>
              <w:outlineLvl w:val="1"/>
              <w:rPr>
                <w:rFonts w:hint="eastAsia" w:ascii="仿宋_GB2312" w:hAnsi="宋体" w:eastAsia="仿宋_GB2312"/>
                <w:kern w:val="0"/>
                <w:sz w:val="32"/>
                <w:szCs w:val="32"/>
              </w:rPr>
            </w:pPr>
          </w:p>
        </w:tc>
        <w:tc>
          <w:tcPr>
            <w:tcW w:w="652" w:type="dxa"/>
          </w:tcPr>
          <w:p>
            <w:pPr>
              <w:widowControl/>
              <w:jc w:val="left"/>
              <w:outlineLvl w:val="1"/>
              <w:rPr>
                <w:rFonts w:hint="eastAsia" w:ascii="仿宋_GB2312" w:hAnsi="宋体" w:eastAsia="仿宋_GB2312"/>
                <w:kern w:val="0"/>
                <w:sz w:val="32"/>
                <w:szCs w:val="32"/>
              </w:rPr>
            </w:pPr>
          </w:p>
        </w:tc>
        <w:tc>
          <w:tcPr>
            <w:tcW w:w="578" w:type="dxa"/>
            <w:gridSpan w:val="2"/>
          </w:tcPr>
          <w:p>
            <w:pPr>
              <w:widowControl/>
              <w:jc w:val="left"/>
              <w:outlineLvl w:val="1"/>
              <w:rPr>
                <w:rFonts w:hint="eastAsia" w:ascii="仿宋_GB2312" w:hAnsi="宋体" w:eastAsia="仿宋_GB2312"/>
                <w:kern w:val="0"/>
                <w:sz w:val="32"/>
                <w:szCs w:val="32"/>
              </w:rPr>
            </w:pPr>
          </w:p>
        </w:tc>
        <w:tc>
          <w:tcPr>
            <w:tcW w:w="419" w:type="dxa"/>
          </w:tcPr>
          <w:p>
            <w:pPr>
              <w:widowControl/>
              <w:jc w:val="left"/>
              <w:outlineLvl w:val="1"/>
              <w:rPr>
                <w:rFonts w:hint="eastAsia" w:ascii="仿宋_GB2312" w:hAnsi="宋体" w:eastAsia="仿宋_GB2312"/>
                <w:kern w:val="0"/>
                <w:sz w:val="32"/>
                <w:szCs w:val="32"/>
              </w:rPr>
            </w:pPr>
          </w:p>
        </w:tc>
        <w:tc>
          <w:tcPr>
            <w:tcW w:w="578" w:type="dxa"/>
          </w:tcPr>
          <w:p>
            <w:pPr>
              <w:widowControl/>
              <w:jc w:val="left"/>
              <w:outlineLvl w:val="1"/>
              <w:rPr>
                <w:rFonts w:hint="eastAsia" w:ascii="仿宋_GB2312" w:hAnsi="宋体" w:eastAsia="仿宋_GB2312"/>
                <w:kern w:val="0"/>
                <w:sz w:val="32"/>
                <w:szCs w:val="32"/>
              </w:rPr>
            </w:pPr>
          </w:p>
        </w:tc>
        <w:tc>
          <w:tcPr>
            <w:tcW w:w="420" w:type="dxa"/>
          </w:tcPr>
          <w:p>
            <w:pPr>
              <w:widowControl/>
              <w:jc w:val="left"/>
              <w:outlineLvl w:val="1"/>
              <w:rPr>
                <w:rFonts w:hint="eastAsia" w:ascii="仿宋_GB2312" w:hAnsi="宋体" w:eastAsia="仿宋_GB2312"/>
                <w:kern w:val="0"/>
                <w:sz w:val="32"/>
                <w:szCs w:val="32"/>
              </w:rPr>
            </w:pPr>
          </w:p>
        </w:tc>
        <w:tc>
          <w:tcPr>
            <w:tcW w:w="420" w:type="dxa"/>
          </w:tcPr>
          <w:p>
            <w:pPr>
              <w:widowControl/>
              <w:jc w:val="left"/>
              <w:outlineLvl w:val="1"/>
              <w:rPr>
                <w:rFonts w:hint="eastAsia" w:ascii="仿宋_GB2312" w:hAnsi="宋体" w:eastAsia="仿宋_GB2312"/>
                <w:kern w:val="0"/>
                <w:sz w:val="32"/>
                <w:szCs w:val="32"/>
              </w:rPr>
            </w:pPr>
          </w:p>
        </w:tc>
        <w:tc>
          <w:tcPr>
            <w:tcW w:w="468" w:type="dxa"/>
            <w:gridSpan w:val="2"/>
          </w:tcPr>
          <w:p>
            <w:pPr>
              <w:widowControl/>
              <w:jc w:val="left"/>
              <w:outlineLvl w:val="1"/>
              <w:rPr>
                <w:rFonts w:hint="eastAsia"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68" w:type="dxa"/>
            <w:gridSpan w:val="2"/>
          </w:tcPr>
          <w:p>
            <w:pPr>
              <w:widowControl/>
              <w:jc w:val="left"/>
              <w:outlineLvl w:val="1"/>
              <w:rPr>
                <w:rFonts w:hint="eastAsia" w:ascii="仿宋_GB2312" w:hAnsi="宋体" w:eastAsia="仿宋_GB2312"/>
                <w:kern w:val="0"/>
                <w:sz w:val="32"/>
                <w:szCs w:val="32"/>
              </w:rPr>
            </w:pPr>
          </w:p>
        </w:tc>
        <w:tc>
          <w:tcPr>
            <w:tcW w:w="426" w:type="dxa"/>
          </w:tcPr>
          <w:p>
            <w:pPr>
              <w:widowControl/>
              <w:jc w:val="left"/>
              <w:outlineLvl w:val="1"/>
              <w:rPr>
                <w:rFonts w:hint="eastAsia" w:ascii="仿宋_GB2312" w:hAnsi="宋体" w:eastAsia="仿宋_GB2312"/>
                <w:kern w:val="0"/>
                <w:sz w:val="32"/>
                <w:szCs w:val="32"/>
              </w:rPr>
            </w:pPr>
          </w:p>
        </w:tc>
        <w:tc>
          <w:tcPr>
            <w:tcW w:w="425" w:type="dxa"/>
          </w:tcPr>
          <w:p>
            <w:pPr>
              <w:widowControl/>
              <w:jc w:val="left"/>
              <w:outlineLvl w:val="1"/>
              <w:rPr>
                <w:rFonts w:hint="eastAsia" w:ascii="仿宋_GB2312" w:hAnsi="宋体" w:eastAsia="仿宋_GB2312"/>
                <w:kern w:val="0"/>
                <w:sz w:val="32"/>
                <w:szCs w:val="32"/>
              </w:rPr>
            </w:pPr>
          </w:p>
        </w:tc>
        <w:tc>
          <w:tcPr>
            <w:tcW w:w="850" w:type="dxa"/>
          </w:tcPr>
          <w:p>
            <w:pPr>
              <w:widowControl/>
              <w:jc w:val="left"/>
              <w:outlineLvl w:val="1"/>
              <w:rPr>
                <w:rFonts w:hint="eastAsia" w:ascii="仿宋_GB2312" w:hAnsi="宋体" w:eastAsia="仿宋_GB2312"/>
                <w:kern w:val="0"/>
                <w:sz w:val="32"/>
                <w:szCs w:val="32"/>
              </w:rPr>
            </w:pPr>
          </w:p>
        </w:tc>
        <w:tc>
          <w:tcPr>
            <w:tcW w:w="1329" w:type="dxa"/>
          </w:tcPr>
          <w:p>
            <w:pPr>
              <w:widowControl/>
              <w:jc w:val="left"/>
              <w:outlineLvl w:val="1"/>
              <w:rPr>
                <w:rFonts w:hint="eastAsia" w:ascii="仿宋_GB2312" w:hAnsi="宋体" w:eastAsia="仿宋_GB2312"/>
                <w:kern w:val="0"/>
                <w:sz w:val="32"/>
                <w:szCs w:val="32"/>
              </w:rPr>
            </w:pPr>
          </w:p>
        </w:tc>
        <w:tc>
          <w:tcPr>
            <w:tcW w:w="750" w:type="dxa"/>
          </w:tcPr>
          <w:p>
            <w:pPr>
              <w:widowControl/>
              <w:jc w:val="left"/>
              <w:outlineLvl w:val="1"/>
              <w:rPr>
                <w:rFonts w:hint="eastAsia" w:ascii="仿宋_GB2312" w:hAnsi="宋体" w:eastAsia="仿宋_GB2312"/>
                <w:kern w:val="0"/>
                <w:sz w:val="32"/>
                <w:szCs w:val="32"/>
              </w:rPr>
            </w:pPr>
          </w:p>
        </w:tc>
        <w:tc>
          <w:tcPr>
            <w:tcW w:w="569" w:type="dxa"/>
          </w:tcPr>
          <w:p>
            <w:pPr>
              <w:widowControl/>
              <w:jc w:val="left"/>
              <w:outlineLvl w:val="1"/>
              <w:rPr>
                <w:rFonts w:hint="eastAsia" w:ascii="仿宋_GB2312" w:hAnsi="宋体" w:eastAsia="仿宋_GB2312"/>
                <w:kern w:val="0"/>
                <w:sz w:val="32"/>
                <w:szCs w:val="32"/>
              </w:rPr>
            </w:pPr>
          </w:p>
        </w:tc>
        <w:tc>
          <w:tcPr>
            <w:tcW w:w="536" w:type="dxa"/>
          </w:tcPr>
          <w:p>
            <w:pPr>
              <w:widowControl/>
              <w:jc w:val="left"/>
              <w:outlineLvl w:val="1"/>
              <w:rPr>
                <w:rFonts w:hint="eastAsia" w:ascii="仿宋_GB2312" w:hAnsi="宋体" w:eastAsia="仿宋_GB2312"/>
                <w:kern w:val="0"/>
                <w:sz w:val="32"/>
                <w:szCs w:val="32"/>
              </w:rPr>
            </w:pPr>
          </w:p>
        </w:tc>
        <w:tc>
          <w:tcPr>
            <w:tcW w:w="652" w:type="dxa"/>
          </w:tcPr>
          <w:p>
            <w:pPr>
              <w:widowControl/>
              <w:jc w:val="left"/>
              <w:outlineLvl w:val="1"/>
              <w:rPr>
                <w:rFonts w:hint="eastAsia" w:ascii="仿宋_GB2312" w:hAnsi="宋体" w:eastAsia="仿宋_GB2312"/>
                <w:kern w:val="0"/>
                <w:sz w:val="32"/>
                <w:szCs w:val="32"/>
              </w:rPr>
            </w:pPr>
          </w:p>
        </w:tc>
        <w:tc>
          <w:tcPr>
            <w:tcW w:w="652" w:type="dxa"/>
          </w:tcPr>
          <w:p>
            <w:pPr>
              <w:widowControl/>
              <w:jc w:val="left"/>
              <w:outlineLvl w:val="1"/>
              <w:rPr>
                <w:rFonts w:hint="eastAsia" w:ascii="仿宋_GB2312" w:hAnsi="宋体" w:eastAsia="仿宋_GB2312"/>
                <w:kern w:val="0"/>
                <w:sz w:val="32"/>
                <w:szCs w:val="32"/>
              </w:rPr>
            </w:pPr>
          </w:p>
        </w:tc>
        <w:tc>
          <w:tcPr>
            <w:tcW w:w="578" w:type="dxa"/>
            <w:gridSpan w:val="2"/>
          </w:tcPr>
          <w:p>
            <w:pPr>
              <w:widowControl/>
              <w:jc w:val="left"/>
              <w:outlineLvl w:val="1"/>
              <w:rPr>
                <w:rFonts w:hint="eastAsia" w:ascii="仿宋_GB2312" w:hAnsi="宋体" w:eastAsia="仿宋_GB2312"/>
                <w:kern w:val="0"/>
                <w:sz w:val="32"/>
                <w:szCs w:val="32"/>
              </w:rPr>
            </w:pPr>
          </w:p>
        </w:tc>
        <w:tc>
          <w:tcPr>
            <w:tcW w:w="419" w:type="dxa"/>
          </w:tcPr>
          <w:p>
            <w:pPr>
              <w:widowControl/>
              <w:jc w:val="left"/>
              <w:outlineLvl w:val="1"/>
              <w:rPr>
                <w:rFonts w:hint="eastAsia" w:ascii="仿宋_GB2312" w:hAnsi="宋体" w:eastAsia="仿宋_GB2312"/>
                <w:kern w:val="0"/>
                <w:sz w:val="32"/>
                <w:szCs w:val="32"/>
              </w:rPr>
            </w:pPr>
          </w:p>
        </w:tc>
        <w:tc>
          <w:tcPr>
            <w:tcW w:w="578" w:type="dxa"/>
          </w:tcPr>
          <w:p>
            <w:pPr>
              <w:widowControl/>
              <w:jc w:val="left"/>
              <w:outlineLvl w:val="1"/>
              <w:rPr>
                <w:rFonts w:hint="eastAsia" w:ascii="仿宋_GB2312" w:hAnsi="宋体" w:eastAsia="仿宋_GB2312"/>
                <w:kern w:val="0"/>
                <w:sz w:val="32"/>
                <w:szCs w:val="32"/>
              </w:rPr>
            </w:pPr>
          </w:p>
        </w:tc>
        <w:tc>
          <w:tcPr>
            <w:tcW w:w="420" w:type="dxa"/>
          </w:tcPr>
          <w:p>
            <w:pPr>
              <w:widowControl/>
              <w:jc w:val="left"/>
              <w:outlineLvl w:val="1"/>
              <w:rPr>
                <w:rFonts w:hint="eastAsia" w:ascii="仿宋_GB2312" w:hAnsi="宋体" w:eastAsia="仿宋_GB2312"/>
                <w:kern w:val="0"/>
                <w:sz w:val="32"/>
                <w:szCs w:val="32"/>
              </w:rPr>
            </w:pPr>
          </w:p>
        </w:tc>
        <w:tc>
          <w:tcPr>
            <w:tcW w:w="420" w:type="dxa"/>
          </w:tcPr>
          <w:p>
            <w:pPr>
              <w:widowControl/>
              <w:jc w:val="left"/>
              <w:outlineLvl w:val="1"/>
              <w:rPr>
                <w:rFonts w:hint="eastAsia" w:ascii="仿宋_GB2312" w:hAnsi="宋体" w:eastAsia="仿宋_GB2312"/>
                <w:kern w:val="0"/>
                <w:sz w:val="32"/>
                <w:szCs w:val="32"/>
              </w:rPr>
            </w:pPr>
          </w:p>
        </w:tc>
        <w:tc>
          <w:tcPr>
            <w:tcW w:w="468" w:type="dxa"/>
            <w:gridSpan w:val="2"/>
          </w:tcPr>
          <w:p>
            <w:pPr>
              <w:widowControl/>
              <w:jc w:val="left"/>
              <w:outlineLvl w:val="1"/>
              <w:rPr>
                <w:rFonts w:hint="eastAsia"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2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2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2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2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6"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29"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b/>
                <w:bCs/>
                <w:kern w:val="0"/>
                <w:szCs w:val="21"/>
              </w:rPr>
              <w:t>合 计</w:t>
            </w:r>
          </w:p>
        </w:tc>
        <w:tc>
          <w:tcPr>
            <w:tcW w:w="750" w:type="dxa"/>
            <w:vAlign w:val="center"/>
          </w:tcPr>
          <w:p>
            <w:pPr>
              <w:widowControl/>
              <w:jc w:val="center"/>
              <w:outlineLvl w:val="1"/>
              <w:rPr>
                <w:rFonts w:ascii="仿宋_GB2312" w:hAnsi="宋体" w:eastAsia="仿宋_GB2312"/>
                <w:kern w:val="0"/>
                <w:szCs w:val="21"/>
              </w:rPr>
            </w:pPr>
            <w:r>
              <w:rPr>
                <w:rFonts w:hint="eastAsia" w:ascii="仿宋_GB2312" w:hAnsi="宋体" w:eastAsia="仿宋_GB2312"/>
                <w:kern w:val="0"/>
                <w:szCs w:val="21"/>
              </w:rPr>
              <w:t>12.04</w:t>
            </w:r>
          </w:p>
        </w:tc>
        <w:tc>
          <w:tcPr>
            <w:tcW w:w="569" w:type="dxa"/>
          </w:tcPr>
          <w:p>
            <w:pPr>
              <w:widowControl/>
              <w:jc w:val="left"/>
              <w:outlineLvl w:val="1"/>
              <w:rPr>
                <w:rFonts w:ascii="仿宋_GB2312" w:hAnsi="宋体" w:eastAsia="仿宋_GB2312"/>
                <w:kern w:val="0"/>
                <w:sz w:val="32"/>
                <w:szCs w:val="32"/>
              </w:rPr>
            </w:pPr>
          </w:p>
        </w:tc>
        <w:tc>
          <w:tcPr>
            <w:tcW w:w="536"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10</w:t>
            </w:r>
          </w:p>
        </w:tc>
        <w:tc>
          <w:tcPr>
            <w:tcW w:w="652" w:type="dxa"/>
          </w:tcPr>
          <w:p>
            <w:pPr>
              <w:widowControl/>
              <w:jc w:val="left"/>
              <w:outlineLvl w:val="1"/>
              <w:rPr>
                <w:rFonts w:ascii="仿宋_GB2312" w:hAnsi="宋体" w:eastAsia="仿宋_GB2312"/>
                <w:kern w:val="0"/>
                <w:sz w:val="18"/>
                <w:szCs w:val="18"/>
              </w:rPr>
            </w:pPr>
            <w:r>
              <w:rPr>
                <w:rFonts w:hint="eastAsia" w:ascii="仿宋_GB2312" w:hAnsi="宋体" w:eastAsia="仿宋_GB2312"/>
                <w:kern w:val="0"/>
                <w:sz w:val="18"/>
                <w:szCs w:val="18"/>
              </w:rPr>
              <w:t>2.04</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仿宋_GB2312" w:hAnsi="宋体" w:eastAsia="仿宋_GB2312"/>
          <w:kern w:val="0"/>
          <w:sz w:val="24"/>
          <w:lang w:eastAsia="zh-CN"/>
        </w:rPr>
        <w:t>克孜勒苏柯尔克孜自治州退役军人事务局</w:t>
      </w:r>
      <w:r>
        <w:rPr>
          <w:rFonts w:hint="eastAsia" w:ascii="仿宋_GB2312" w:hAnsi="宋体" w:eastAsia="仿宋_GB2312"/>
          <w:kern w:val="0"/>
          <w:sz w:val="24"/>
        </w:rPr>
        <w:t xml:space="preserve">    单位：万元   </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hint="eastAsia"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spacing w:line="280" w:lineRule="exact"/>
        <w:jc w:val="left"/>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仿宋_GB2312" w:hAnsi="宋体" w:eastAsia="仿宋_GB2312"/>
          <w:kern w:val="0"/>
          <w:sz w:val="24"/>
          <w:lang w:eastAsia="zh-CN"/>
        </w:rPr>
        <w:t>克孜勒苏柯尔克孜自治州退役军人事务局</w:t>
      </w:r>
      <w:r>
        <w:rPr>
          <w:rFonts w:hint="eastAsia" w:ascii="仿宋_GB2312" w:hAnsi="宋体" w:eastAsia="仿宋_GB2312"/>
          <w:kern w:val="0"/>
          <w:sz w:val="24"/>
        </w:rPr>
        <w:t xml:space="preserve">      单位：万元                          </w:t>
      </w:r>
    </w:p>
    <w:tbl>
      <w:tblPr>
        <w:tblStyle w:val="7"/>
        <w:tblW w:w="9214" w:type="dxa"/>
        <w:tblInd w:w="-34" w:type="dxa"/>
        <w:tblLayout w:type="fixed"/>
        <w:tblCellMar>
          <w:top w:w="0" w:type="dxa"/>
          <w:left w:w="108" w:type="dxa"/>
          <w:bottom w:w="0" w:type="dxa"/>
          <w:right w:w="108" w:type="dxa"/>
        </w:tblCellMar>
      </w:tblPr>
      <w:tblGrid>
        <w:gridCol w:w="585"/>
        <w:gridCol w:w="457"/>
        <w:gridCol w:w="699"/>
        <w:gridCol w:w="2544"/>
        <w:gridCol w:w="1669"/>
        <w:gridCol w:w="1701"/>
        <w:gridCol w:w="1559"/>
      </w:tblGrid>
      <w:tr>
        <w:tblPrEx>
          <w:tblLayout w:type="fixed"/>
          <w:tblCellMar>
            <w:top w:w="0" w:type="dxa"/>
            <w:left w:w="108" w:type="dxa"/>
            <w:bottom w:w="0" w:type="dxa"/>
            <w:right w:w="108" w:type="dxa"/>
          </w:tblCellMar>
        </w:tblPrEx>
        <w:trPr>
          <w:trHeight w:val="465" w:hRule="atLeast"/>
        </w:trPr>
        <w:tc>
          <w:tcPr>
            <w:tcW w:w="428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92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54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66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 计</w:t>
            </w:r>
          </w:p>
        </w:tc>
        <w:tc>
          <w:tcPr>
            <w:tcW w:w="170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54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66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b/>
                <w:bCs/>
                <w:color w:val="000000"/>
                <w:kern w:val="0"/>
                <w:sz w:val="24"/>
              </w:rPr>
              <w:t>合  计</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spacing w:line="280" w:lineRule="exact"/>
        <w:outlineLvl w:val="1"/>
        <w:rPr>
          <w:rFonts w:hint="eastAsia" w:ascii="仿宋_GB2312" w:hAnsi="宋体" w:eastAsia="仿宋_GB2312"/>
          <w:b/>
          <w:kern w:val="0"/>
          <w:sz w:val="28"/>
          <w:szCs w:val="32"/>
          <w:lang w:val="en-US" w:eastAsia="zh-CN"/>
        </w:rPr>
      </w:pPr>
      <w:r>
        <w:rPr>
          <w:rFonts w:hint="eastAsia" w:ascii="仿宋_GB2312" w:hAnsi="宋体" w:eastAsia="仿宋_GB2312"/>
          <w:b/>
          <w:kern w:val="0"/>
          <w:sz w:val="28"/>
          <w:szCs w:val="32"/>
        </w:rPr>
        <w:t>备注：</w:t>
      </w:r>
      <w:r>
        <w:rPr>
          <w:rFonts w:hint="eastAsia" w:ascii="仿宋_GB2312" w:hAnsi="宋体" w:eastAsia="仿宋_GB2312" w:cs="宋体"/>
          <w:kern w:val="0"/>
          <w:sz w:val="32"/>
          <w:szCs w:val="32"/>
          <w:lang w:eastAsia="zh-CN"/>
        </w:rPr>
        <w:t>克孜勒苏柯尔克孜自治州退役军人事务局</w:t>
      </w:r>
      <w:r>
        <w:rPr>
          <w:rFonts w:hint="eastAsia" w:ascii="仿宋_GB2312" w:hAnsi="宋体" w:eastAsia="仿宋_GB2312" w:cs="宋体"/>
          <w:kern w:val="0"/>
          <w:sz w:val="32"/>
          <w:szCs w:val="32"/>
        </w:rPr>
        <w:t>2021年没有使用政府性基金预算拨款安排的支出，政府性基金预算支出情况表为空</w:t>
      </w:r>
      <w:r>
        <w:rPr>
          <w:rFonts w:hint="eastAsia" w:ascii="仿宋_GB2312" w:hAnsi="宋体" w:eastAsia="仿宋_GB2312" w:cs="宋体"/>
          <w:kern w:val="0"/>
          <w:sz w:val="32"/>
          <w:szCs w:val="32"/>
          <w:lang w:eastAsia="zh-CN"/>
        </w:rPr>
        <w:t>。</w:t>
      </w:r>
    </w:p>
    <w:p>
      <w:pPr>
        <w:widowControl/>
        <w:spacing w:line="280" w:lineRule="exact"/>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0" w:num="1"/>
          <w:rtlGutter w:val="0"/>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  2021年部门（单位）预算情况说明</w:t>
      </w: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克孜勒苏柯尔克孜自治州退役军人事务局</w:t>
      </w:r>
      <w:r>
        <w:rPr>
          <w:rFonts w:hint="eastAsia" w:ascii="黑体" w:hAnsi="宋体" w:eastAsia="黑体" w:cs="宋体"/>
          <w:kern w:val="0"/>
          <w:sz w:val="32"/>
          <w:szCs w:val="32"/>
        </w:rPr>
        <w:t>2021年收支预算情况的总体说明</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eastAsia="zh-CN"/>
        </w:rPr>
        <w:t>克孜勒苏柯尔克孜自治州退役军人事务局</w:t>
      </w:r>
      <w:r>
        <w:rPr>
          <w:rFonts w:hint="eastAsia" w:ascii="仿宋_GB2312" w:hAnsi="宋体" w:eastAsia="仿宋_GB2312" w:cs="宋体"/>
          <w:kern w:val="0"/>
          <w:sz w:val="32"/>
          <w:szCs w:val="32"/>
        </w:rPr>
        <w:t>2021年所有收入和支出均纳入部门（单位）预算管理。收支总预算939.58万元。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收入预算包括：一般公共预算847.38万元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单位上年结余（不包括国库集中支付额度结余）</w:t>
      </w:r>
      <w:r>
        <w:rPr>
          <w:rFonts w:hint="eastAsia" w:ascii="仿宋_GB2312" w:hAnsi="宋体" w:eastAsia="仿宋_GB2312" w:cs="宋体"/>
          <w:kern w:val="0"/>
          <w:sz w:val="32"/>
          <w:szCs w:val="32"/>
          <w:lang w:val="en-US" w:eastAsia="zh-CN"/>
        </w:rPr>
        <w:t>92.20万元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支出预算包括：社会保障和就业支出939.58万元。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eastAsia="zh-CN"/>
        </w:rPr>
        <w:t>克孜勒苏柯尔克孜自治州退役军人事务局</w:t>
      </w:r>
      <w:r>
        <w:rPr>
          <w:rFonts w:hint="eastAsia" w:ascii="黑体" w:hAnsi="宋体" w:eastAsia="黑体" w:cs="宋体"/>
          <w:kern w:val="0"/>
          <w:sz w:val="32"/>
          <w:szCs w:val="32"/>
        </w:rPr>
        <w:t>2021年收入预算情况说明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克孜勒苏柯尔克孜自治州退役军人事务局</w:t>
      </w:r>
      <w:r>
        <w:rPr>
          <w:rFonts w:hint="eastAsia" w:ascii="仿宋_GB2312" w:hAnsi="宋体" w:eastAsia="仿宋_GB2312" w:cs="宋体"/>
          <w:kern w:val="0"/>
          <w:sz w:val="32"/>
          <w:szCs w:val="32"/>
        </w:rPr>
        <w:t>收入预算939.58万元，其中：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一般公共预算847.38万元，占90.18 %，比上年</w:t>
      </w:r>
      <w:r>
        <w:rPr>
          <w:rFonts w:hint="eastAsia" w:ascii="仿宋_GB2312" w:hAnsi="宋体" w:eastAsia="仿宋_GB2312" w:cs="宋体"/>
          <w:kern w:val="0"/>
          <w:sz w:val="32"/>
          <w:szCs w:val="32"/>
          <w:highlight w:val="none"/>
          <w:shd w:val="clear" w:fill="FFFFFF" w:themeFill="background1"/>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176.45</w:t>
      </w:r>
      <w:r>
        <w:rPr>
          <w:rFonts w:hint="eastAsia" w:ascii="仿宋_GB2312" w:hAnsi="宋体" w:eastAsia="仿宋_GB2312" w:cs="宋体"/>
          <w:kern w:val="0"/>
          <w:sz w:val="32"/>
          <w:szCs w:val="32"/>
        </w:rPr>
        <w:t>万元，其中：行政运行835.34万元，其他退役军人事务管理支出</w:t>
      </w:r>
      <w:r>
        <w:rPr>
          <w:rFonts w:hint="eastAsia" w:ascii="仿宋_GB2312" w:hAnsi="宋体" w:eastAsia="仿宋_GB2312" w:cs="宋体"/>
          <w:kern w:val="0"/>
          <w:sz w:val="32"/>
          <w:szCs w:val="32"/>
          <w:lang w:val="en-US" w:eastAsia="zh-CN"/>
        </w:rPr>
        <w:t>12.04</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人员经费增加，年初预算增加军休干部军粮差价和防署降温费及退役军人事务工作经费</w:t>
      </w:r>
      <w:r>
        <w:rPr>
          <w:rFonts w:hint="eastAsia" w:ascii="仿宋_GB2312" w:hAnsi="宋体" w:eastAsia="仿宋_GB2312" w:cs="宋体"/>
          <w:kern w:val="0"/>
          <w:sz w:val="32"/>
          <w:szCs w:val="32"/>
        </w:rPr>
        <w:t xml:space="preserve">；    </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国有资本</w:t>
      </w:r>
      <w:r>
        <w:rPr>
          <w:rFonts w:ascii="仿宋_GB2312" w:hAnsi="宋体" w:eastAsia="仿宋_GB2312" w:cs="宋体"/>
          <w:kern w:val="0"/>
          <w:sz w:val="32"/>
          <w:szCs w:val="32"/>
          <w:highlight w:val="none"/>
        </w:rPr>
        <w:t>经营预算</w:t>
      </w:r>
      <w:r>
        <w:rPr>
          <w:rFonts w:hint="eastAsia" w:ascii="仿宋_GB2312" w:hAnsi="宋体" w:eastAsia="仿宋_GB2312" w:cs="宋体"/>
          <w:kern w:val="0"/>
          <w:sz w:val="32"/>
          <w:szCs w:val="32"/>
          <w:highlight w:val="none"/>
        </w:rPr>
        <w:t>未安排。</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单位上年结余（不包含国库集中支付额度结余）92.2万元，占9.81%，比上年预算增加92.2万元，主要原因是：上年无结转结余，今年因受疫情影响专项资金未按时进行支出。</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克孜勒苏柯尔克孜自治州退役军人事务局</w:t>
      </w:r>
      <w:r>
        <w:rPr>
          <w:rFonts w:hint="eastAsia" w:ascii="黑体" w:hAnsi="宋体" w:eastAsia="黑体" w:cs="宋体"/>
          <w:kern w:val="0"/>
          <w:sz w:val="32"/>
          <w:szCs w:val="32"/>
        </w:rPr>
        <w:t>单位2021年支出预算情况说明</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克孜勒苏柯尔克孜自治州退役军人事务局</w:t>
      </w:r>
      <w:r>
        <w:rPr>
          <w:rFonts w:hint="eastAsia" w:ascii="仿宋_GB2312" w:hAnsi="宋体" w:eastAsia="仿宋_GB2312" w:cs="宋体"/>
          <w:kern w:val="0"/>
          <w:sz w:val="32"/>
          <w:szCs w:val="32"/>
        </w:rPr>
        <w:t>2021年支出预算939.58万元，其中：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基本支出835.34万元，占88.9%，比上年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增加174.41万元，主要原因是：人员职务晋升和军休人员定期增资。</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项目支出104.25万元，占11.1%，比上年</w:t>
      </w:r>
      <w:r>
        <w:rPr>
          <w:rFonts w:hint="eastAsia" w:ascii="仿宋_GB2312" w:hAnsi="宋体" w:eastAsia="仿宋_GB2312" w:cs="宋体"/>
          <w:kern w:val="0"/>
          <w:sz w:val="32"/>
          <w:szCs w:val="32"/>
          <w:lang w:eastAsia="zh-CN"/>
        </w:rPr>
        <w:t>预算</w:t>
      </w:r>
      <w:r>
        <w:rPr>
          <w:rFonts w:hint="eastAsia" w:ascii="仿宋_GB2312" w:hAnsi="宋体" w:eastAsia="仿宋_GB2312" w:cs="宋体"/>
          <w:kern w:val="0"/>
          <w:sz w:val="32"/>
          <w:szCs w:val="32"/>
        </w:rPr>
        <w:t>增加94.25万元，主要原因是：上年专项资金有结转结余。</w:t>
      </w:r>
    </w:p>
    <w:p>
      <w:pPr>
        <w:spacing w:line="560" w:lineRule="exact"/>
        <w:ind w:firstLine="640" w:firstLineChars="200"/>
        <w:rPr>
          <w:rFonts w:hint="eastAsia" w:ascii="仿宋_GB2312" w:hAnsi="宋体" w:eastAsia="仿宋_GB2312" w:cs="宋体"/>
          <w:kern w:val="0"/>
          <w:sz w:val="32"/>
          <w:szCs w:val="32"/>
        </w:rPr>
      </w:pPr>
      <w:r>
        <w:rPr>
          <w:rFonts w:hint="eastAsia" w:ascii="黑体" w:hAnsi="黑体" w:eastAsia="黑体" w:cs="宋体"/>
          <w:bCs/>
          <w:kern w:val="0"/>
          <w:sz w:val="32"/>
          <w:szCs w:val="32"/>
        </w:rPr>
        <w:t>四、关于</w:t>
      </w:r>
      <w:r>
        <w:rPr>
          <w:rFonts w:hint="eastAsia" w:ascii="黑体" w:hAnsi="黑体" w:eastAsia="黑体" w:cs="宋体"/>
          <w:bCs/>
          <w:kern w:val="0"/>
          <w:sz w:val="32"/>
          <w:szCs w:val="32"/>
          <w:lang w:eastAsia="zh-CN"/>
        </w:rPr>
        <w:t>克孜勒苏柯尔克孜自治州退役军人事务局</w:t>
      </w:r>
      <w:r>
        <w:rPr>
          <w:rFonts w:hint="eastAsia" w:ascii="黑体" w:hAnsi="黑体" w:eastAsia="黑体" w:cs="宋体"/>
          <w:bCs/>
          <w:kern w:val="0"/>
          <w:sz w:val="32"/>
          <w:szCs w:val="32"/>
        </w:rPr>
        <w:t>2021年财政拨款收支预算情况的总体说明</w:t>
      </w:r>
    </w:p>
    <w:p>
      <w:pPr>
        <w:spacing w:line="560" w:lineRule="exact"/>
        <w:ind w:firstLine="640" w:firstLineChars="200"/>
        <w:rPr>
          <w:rFonts w:hint="eastAsia" w:ascii="仿宋_GB2312" w:hAnsi="宋体" w:eastAsia="仿宋_GB2312" w:cs="宋体"/>
          <w:spacing w:val="-6"/>
          <w:kern w:val="0"/>
          <w:sz w:val="32"/>
          <w:szCs w:val="32"/>
        </w:rPr>
      </w:pPr>
      <w:r>
        <w:rPr>
          <w:rFonts w:hint="eastAsia" w:ascii="仿宋_GB2312" w:hAnsi="宋体" w:eastAsia="仿宋_GB2312" w:cs="宋体"/>
          <w:kern w:val="0"/>
          <w:sz w:val="32"/>
          <w:szCs w:val="32"/>
        </w:rPr>
        <w:t>2021年财政拨款收支总预算847.38万元。</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收入全部为一般公共预算拨款，无政府性基金预算拨款和</w:t>
      </w:r>
      <w:r>
        <w:rPr>
          <w:rFonts w:ascii="仿宋_GB2312" w:hAnsi="宋体" w:eastAsia="仿宋_GB2312" w:cs="宋体"/>
          <w:spacing w:val="-6"/>
          <w:kern w:val="0"/>
          <w:sz w:val="32"/>
          <w:szCs w:val="32"/>
          <w:highlight w:val="none"/>
        </w:rPr>
        <w:t>国有资本经营预算</w:t>
      </w:r>
      <w:r>
        <w:rPr>
          <w:rFonts w:hint="eastAsia" w:ascii="仿宋_GB2312" w:hAnsi="宋体" w:eastAsia="仿宋_GB2312" w:cs="宋体"/>
          <w:spacing w:val="-6"/>
          <w:kern w:val="0"/>
          <w:sz w:val="32"/>
          <w:szCs w:val="32"/>
          <w:highlight w:val="none"/>
        </w:rPr>
        <w:t>。</w:t>
      </w:r>
    </w:p>
    <w:p>
      <w:pPr>
        <w:spacing w:line="560" w:lineRule="exact"/>
        <w:ind w:firstLine="616" w:firstLineChars="200"/>
        <w:rPr>
          <w:rFonts w:ascii="仿宋_GB2312" w:hAnsi="宋体" w:eastAsia="仿宋_GB2312" w:cs="宋体"/>
          <w:spacing w:val="-6"/>
          <w:kern w:val="0"/>
          <w:sz w:val="32"/>
          <w:szCs w:val="32"/>
          <w:highlight w:val="none"/>
        </w:rPr>
      </w:pPr>
      <w:r>
        <w:rPr>
          <w:rFonts w:hint="eastAsia" w:ascii="仿宋_GB2312" w:hAnsi="宋体" w:eastAsia="仿宋_GB2312" w:cs="宋体"/>
          <w:spacing w:val="-6"/>
          <w:kern w:val="0"/>
          <w:sz w:val="32"/>
          <w:szCs w:val="32"/>
          <w:highlight w:val="none"/>
        </w:rPr>
        <w:t>收入预算</w:t>
      </w:r>
      <w:r>
        <w:rPr>
          <w:rFonts w:ascii="仿宋_GB2312" w:hAnsi="宋体" w:eastAsia="仿宋_GB2312" w:cs="宋体"/>
          <w:spacing w:val="-6"/>
          <w:kern w:val="0"/>
          <w:sz w:val="32"/>
          <w:szCs w:val="32"/>
          <w:highlight w:val="none"/>
        </w:rPr>
        <w:t>包括：一般公共预算拨款</w:t>
      </w:r>
      <w:r>
        <w:rPr>
          <w:rFonts w:hint="eastAsia" w:ascii="仿宋_GB2312" w:hAnsi="宋体" w:eastAsia="仿宋_GB2312" w:cs="宋体"/>
          <w:spacing w:val="-6"/>
          <w:kern w:val="0"/>
          <w:sz w:val="32"/>
          <w:szCs w:val="32"/>
          <w:highlight w:val="none"/>
          <w:lang w:val="en-US" w:eastAsia="zh-CN"/>
        </w:rPr>
        <w:t>847.38</w:t>
      </w:r>
      <w:r>
        <w:rPr>
          <w:rFonts w:hint="eastAsia" w:ascii="仿宋_GB2312" w:hAnsi="宋体" w:eastAsia="仿宋_GB2312" w:cs="宋体"/>
          <w:spacing w:val="-6"/>
          <w:kern w:val="0"/>
          <w:sz w:val="32"/>
          <w:szCs w:val="32"/>
          <w:highlight w:val="none"/>
        </w:rPr>
        <w:t>万元</w:t>
      </w:r>
      <w:r>
        <w:rPr>
          <w:rFonts w:ascii="仿宋_GB2312" w:hAnsi="宋体" w:eastAsia="仿宋_GB2312" w:cs="宋体"/>
          <w:spacing w:val="-6"/>
          <w:kern w:val="0"/>
          <w:sz w:val="32"/>
          <w:szCs w:val="32"/>
          <w:highlight w:val="none"/>
        </w:rPr>
        <w:t>。</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highlight w:val="none"/>
        </w:rPr>
        <w:t>一般</w:t>
      </w:r>
      <w:r>
        <w:rPr>
          <w:rFonts w:ascii="仿宋_GB2312" w:hAnsi="宋体" w:eastAsia="仿宋_GB2312" w:cs="宋体"/>
          <w:spacing w:val="-6"/>
          <w:kern w:val="0"/>
          <w:sz w:val="32"/>
          <w:szCs w:val="32"/>
          <w:highlight w:val="none"/>
        </w:rPr>
        <w:t>公共预算支出包括：</w:t>
      </w:r>
      <w:r>
        <w:rPr>
          <w:rFonts w:hint="eastAsia" w:ascii="仿宋_GB2312" w:hAnsi="宋体" w:eastAsia="仿宋_GB2312" w:cs="宋体"/>
          <w:kern w:val="0"/>
          <w:sz w:val="32"/>
          <w:szCs w:val="32"/>
        </w:rPr>
        <w:t>社会保障和就业支出</w:t>
      </w:r>
      <w:r>
        <w:rPr>
          <w:rFonts w:hint="eastAsia" w:ascii="仿宋_GB2312" w:hAnsi="宋体" w:eastAsia="仿宋_GB2312" w:cs="宋体"/>
          <w:spacing w:val="-6"/>
          <w:kern w:val="0"/>
          <w:sz w:val="32"/>
          <w:szCs w:val="32"/>
          <w:highlight w:val="none"/>
        </w:rPr>
        <w:t xml:space="preserve"> </w:t>
      </w:r>
      <w:r>
        <w:rPr>
          <w:rFonts w:hint="eastAsia" w:ascii="仿宋_GB2312" w:hAnsi="宋体" w:eastAsia="仿宋_GB2312" w:cs="宋体"/>
          <w:spacing w:val="-6"/>
          <w:kern w:val="0"/>
          <w:sz w:val="32"/>
          <w:szCs w:val="32"/>
          <w:highlight w:val="none"/>
          <w:lang w:val="en-US" w:eastAsia="zh-CN"/>
        </w:rPr>
        <w:t>847.38</w:t>
      </w:r>
      <w:r>
        <w:rPr>
          <w:rFonts w:hint="eastAsia" w:ascii="仿宋_GB2312" w:hAnsi="宋体" w:eastAsia="仿宋_GB2312" w:cs="宋体"/>
          <w:spacing w:val="-6"/>
          <w:kern w:val="0"/>
          <w:sz w:val="32"/>
          <w:szCs w:val="32"/>
          <w:highlight w:val="none"/>
        </w:rPr>
        <w:t>万元</w:t>
      </w:r>
      <w:r>
        <w:rPr>
          <w:rFonts w:ascii="仿宋_GB2312" w:hAnsi="宋体" w:eastAsia="仿宋_GB2312" w:cs="宋体"/>
          <w:spacing w:val="-6"/>
          <w:kern w:val="0"/>
          <w:sz w:val="32"/>
          <w:szCs w:val="32"/>
          <w:highlight w:val="none"/>
        </w:rPr>
        <w:t>，主要用于</w:t>
      </w:r>
      <w:r>
        <w:rPr>
          <w:rFonts w:hint="eastAsia" w:ascii="仿宋_GB2312" w:hAnsi="宋体" w:eastAsia="仿宋_GB2312" w:cs="宋体"/>
          <w:spacing w:val="-6"/>
          <w:kern w:val="0"/>
          <w:sz w:val="32"/>
          <w:szCs w:val="32"/>
          <w:highlight w:val="none"/>
          <w:lang w:eastAsia="zh-CN"/>
        </w:rPr>
        <w:t>：</w:t>
      </w:r>
      <w:r>
        <w:rPr>
          <w:rFonts w:hint="eastAsia" w:ascii="仿宋_GB2312" w:hAnsi="宋体" w:eastAsia="仿宋_GB2312" w:cs="宋体"/>
          <w:kern w:val="0"/>
          <w:sz w:val="32"/>
          <w:szCs w:val="32"/>
        </w:rPr>
        <w:t>人员经费828.19万元</w:t>
      </w:r>
      <w:r>
        <w:rPr>
          <w:rFonts w:hint="eastAsia" w:ascii="仿宋_GB2312" w:hAnsi="仿宋_GB2312" w:eastAsia="仿宋_GB2312" w:cs="宋体"/>
          <w:spacing w:val="-6"/>
          <w:kern w:val="0"/>
          <w:sz w:val="32"/>
          <w:szCs w:val="32"/>
        </w:rPr>
        <w:t>；公用经费7.15万元；</w:t>
      </w:r>
      <w:r>
        <w:rPr>
          <w:rFonts w:hint="eastAsia" w:ascii="仿宋_GB2312" w:hAnsi="宋体" w:eastAsia="仿宋_GB2312" w:cs="宋体"/>
          <w:kern w:val="0"/>
          <w:sz w:val="32"/>
          <w:szCs w:val="32"/>
        </w:rPr>
        <w:t>其他退役军人事务管理支出12.04万元。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eastAsia="zh-CN"/>
        </w:rPr>
        <w:t>克孜勒苏柯尔克孜自治州退役军人事务局</w:t>
      </w:r>
      <w:r>
        <w:rPr>
          <w:rFonts w:hint="eastAsia" w:ascii="黑体" w:hAnsi="宋体" w:eastAsia="黑体" w:cs="宋体"/>
          <w:kern w:val="0"/>
          <w:sz w:val="32"/>
          <w:szCs w:val="32"/>
        </w:rPr>
        <w:t>2021年一般公共预算当年拨款情况说明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（一）一般公共预算当年拨款规模变化情况</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克孜勒苏柯尔克孜自治州退役军人事务局</w:t>
      </w:r>
      <w:r>
        <w:rPr>
          <w:rFonts w:hint="eastAsia" w:ascii="仿宋_GB2312" w:hAnsi="宋体" w:eastAsia="仿宋_GB2312" w:cs="宋体"/>
          <w:kern w:val="0"/>
          <w:sz w:val="32"/>
          <w:szCs w:val="32"/>
        </w:rPr>
        <w:t>2021年一般公共预算拨款</w:t>
      </w:r>
      <w:r>
        <w:rPr>
          <w:rFonts w:hint="eastAsia" w:ascii="仿宋_GB2312" w:hAnsi="宋体" w:eastAsia="仿宋_GB2312" w:cs="宋体"/>
          <w:kern w:val="0"/>
          <w:sz w:val="32"/>
          <w:szCs w:val="32"/>
          <w:highlight w:val="none"/>
        </w:rPr>
        <w:t>合计</w:t>
      </w:r>
      <w:r>
        <w:rPr>
          <w:rFonts w:hint="eastAsia" w:ascii="仿宋_GB2312" w:hAnsi="宋体" w:eastAsia="仿宋_GB2312" w:cs="宋体"/>
          <w:kern w:val="0"/>
          <w:sz w:val="32"/>
          <w:szCs w:val="32"/>
          <w:highlight w:val="none"/>
          <w:lang w:val="en-US" w:eastAsia="zh-CN"/>
        </w:rPr>
        <w:t>847.38</w:t>
      </w:r>
      <w:r>
        <w:rPr>
          <w:rFonts w:hint="eastAsia" w:ascii="仿宋_GB2312" w:hAnsi="宋体" w:eastAsia="仿宋_GB2312" w:cs="宋体"/>
          <w:kern w:val="0"/>
          <w:sz w:val="32"/>
          <w:szCs w:val="32"/>
          <w:highlight w:val="none"/>
        </w:rPr>
        <w:t>万元，其中</w:t>
      </w:r>
      <w:r>
        <w:rPr>
          <w:rFonts w:ascii="仿宋_GB2312" w:hAnsi="宋体" w:eastAsia="仿宋_GB2312" w:cs="宋体"/>
          <w:kern w:val="0"/>
          <w:sz w:val="32"/>
          <w:szCs w:val="32"/>
          <w:highlight w:val="none"/>
        </w:rPr>
        <w:t>：基本支出</w:t>
      </w:r>
      <w:r>
        <w:rPr>
          <w:rFonts w:hint="eastAsia" w:ascii="仿宋_GB2312" w:hAnsi="宋体" w:eastAsia="仿宋_GB2312" w:cs="宋体"/>
          <w:kern w:val="0"/>
          <w:sz w:val="32"/>
          <w:szCs w:val="32"/>
          <w:highlight w:val="none"/>
          <w:lang w:val="en-US" w:eastAsia="zh-CN"/>
        </w:rPr>
        <w:t>835.34</w:t>
      </w:r>
      <w:r>
        <w:rPr>
          <w:rFonts w:hint="eastAsia" w:ascii="仿宋_GB2312" w:hAnsi="宋体" w:eastAsia="仿宋_GB2312" w:cs="宋体"/>
          <w:kern w:val="0"/>
          <w:sz w:val="32"/>
          <w:szCs w:val="32"/>
          <w:highlight w:val="none"/>
        </w:rPr>
        <w:t>万元</w:t>
      </w:r>
      <w:r>
        <w:rPr>
          <w:rFonts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rPr>
        <w:t>比上年预算增加</w:t>
      </w:r>
      <w:r>
        <w:rPr>
          <w:rFonts w:hint="eastAsia" w:ascii="仿宋_GB2312" w:hAnsi="宋体" w:eastAsia="仿宋_GB2312" w:cs="宋体"/>
          <w:kern w:val="0"/>
          <w:sz w:val="32"/>
          <w:szCs w:val="32"/>
          <w:highlight w:val="none"/>
          <w:lang w:val="en-US" w:eastAsia="zh-CN"/>
        </w:rPr>
        <w:t>174.41</w:t>
      </w:r>
      <w:r>
        <w:rPr>
          <w:rFonts w:hint="eastAsia" w:ascii="仿宋_GB2312" w:hAnsi="宋体" w:eastAsia="仿宋_GB2312" w:cs="宋体"/>
          <w:kern w:val="0"/>
          <w:sz w:val="32"/>
          <w:szCs w:val="32"/>
          <w:highlight w:val="none"/>
        </w:rPr>
        <w:t>万元，增长</w:t>
      </w:r>
      <w:r>
        <w:rPr>
          <w:rFonts w:hint="eastAsia" w:ascii="仿宋_GB2312" w:hAnsi="宋体" w:eastAsia="仿宋_GB2312" w:cs="宋体"/>
          <w:kern w:val="0"/>
          <w:sz w:val="32"/>
          <w:szCs w:val="32"/>
          <w:highlight w:val="none"/>
          <w:lang w:val="en-US" w:eastAsia="zh-CN"/>
        </w:rPr>
        <w:t>26</w:t>
      </w:r>
      <w:r>
        <w:rPr>
          <w:rFonts w:hint="eastAsia" w:ascii="仿宋_GB2312" w:hAnsi="宋体" w:eastAsia="仿宋_GB2312" w:cs="宋体"/>
          <w:kern w:val="0"/>
          <w:sz w:val="32"/>
          <w:szCs w:val="32"/>
          <w:highlight w:val="none"/>
        </w:rPr>
        <w:t>%。主要原因是：人员职务晋升和军休人员定期增资</w:t>
      </w:r>
      <w:r>
        <w:rPr>
          <w:rFonts w:hint="eastAsia" w:ascii="仿宋_GB2312" w:hAnsi="宋体" w:eastAsia="仿宋_GB2312" w:cs="宋体"/>
          <w:kern w:val="0"/>
          <w:sz w:val="32"/>
          <w:szCs w:val="32"/>
          <w:highlight w:val="none"/>
          <w:lang w:eastAsia="zh-CN"/>
        </w:rPr>
        <w:t>；</w:t>
      </w:r>
      <w:r>
        <w:rPr>
          <w:rFonts w:ascii="仿宋_GB2312" w:hAnsi="宋体" w:eastAsia="仿宋_GB2312" w:cs="宋体"/>
          <w:kern w:val="0"/>
          <w:sz w:val="32"/>
          <w:szCs w:val="32"/>
          <w:highlight w:val="none"/>
        </w:rPr>
        <w:t>项目</w:t>
      </w:r>
      <w:r>
        <w:rPr>
          <w:rFonts w:hint="eastAsia" w:ascii="仿宋_GB2312" w:hAnsi="宋体" w:eastAsia="仿宋_GB2312" w:cs="宋体"/>
          <w:kern w:val="0"/>
          <w:sz w:val="32"/>
          <w:szCs w:val="32"/>
          <w:highlight w:val="none"/>
        </w:rPr>
        <w:t>支出</w:t>
      </w:r>
      <w:r>
        <w:rPr>
          <w:rFonts w:hint="eastAsia" w:ascii="仿宋_GB2312" w:hAnsi="宋体" w:eastAsia="仿宋_GB2312" w:cs="宋体"/>
          <w:kern w:val="0"/>
          <w:sz w:val="32"/>
          <w:szCs w:val="32"/>
          <w:highlight w:val="none"/>
          <w:lang w:val="en-US" w:eastAsia="zh-CN"/>
        </w:rPr>
        <w:t>12.04</w:t>
      </w:r>
      <w:r>
        <w:rPr>
          <w:rFonts w:hint="eastAsia" w:ascii="仿宋_GB2312" w:hAnsi="宋体" w:eastAsia="仿宋_GB2312" w:cs="宋体"/>
          <w:kern w:val="0"/>
          <w:sz w:val="32"/>
          <w:szCs w:val="32"/>
          <w:highlight w:val="none"/>
        </w:rPr>
        <w:t>万元</w:t>
      </w:r>
      <w:r>
        <w:rPr>
          <w:rFonts w:ascii="仿宋_GB2312" w:hAnsi="宋体" w:eastAsia="仿宋_GB2312" w:cs="宋体"/>
          <w:kern w:val="0"/>
          <w:sz w:val="32"/>
          <w:szCs w:val="32"/>
          <w:highlight w:val="none"/>
        </w:rPr>
        <w:t>，比</w:t>
      </w:r>
      <w:r>
        <w:rPr>
          <w:rFonts w:hint="eastAsia" w:ascii="仿宋_GB2312" w:hAnsi="宋体" w:eastAsia="仿宋_GB2312" w:cs="宋体"/>
          <w:kern w:val="0"/>
          <w:sz w:val="32"/>
          <w:szCs w:val="32"/>
          <w:highlight w:val="none"/>
        </w:rPr>
        <w:t>上年</w:t>
      </w:r>
      <w:r>
        <w:rPr>
          <w:rFonts w:ascii="仿宋_GB2312" w:hAnsi="宋体" w:eastAsia="仿宋_GB2312" w:cs="宋体"/>
          <w:kern w:val="0"/>
          <w:sz w:val="32"/>
          <w:szCs w:val="32"/>
          <w:highlight w:val="none"/>
        </w:rPr>
        <w:t>预算增加</w:t>
      </w:r>
      <w:r>
        <w:rPr>
          <w:rFonts w:hint="eastAsia" w:ascii="仿宋_GB2312" w:hAnsi="宋体" w:eastAsia="仿宋_GB2312" w:cs="宋体"/>
          <w:kern w:val="0"/>
          <w:sz w:val="32"/>
          <w:szCs w:val="32"/>
          <w:highlight w:val="none"/>
          <w:lang w:val="en-US" w:eastAsia="zh-CN"/>
        </w:rPr>
        <w:t>2.04</w:t>
      </w:r>
      <w:r>
        <w:rPr>
          <w:rFonts w:hint="eastAsia" w:ascii="仿宋_GB2312" w:hAnsi="宋体" w:eastAsia="仿宋_GB2312" w:cs="宋体"/>
          <w:kern w:val="0"/>
          <w:sz w:val="32"/>
          <w:szCs w:val="32"/>
          <w:highlight w:val="none"/>
        </w:rPr>
        <w:t>万元</w:t>
      </w:r>
      <w:r>
        <w:rPr>
          <w:rFonts w:ascii="仿宋_GB2312" w:hAnsi="宋体" w:eastAsia="仿宋_GB2312" w:cs="宋体"/>
          <w:kern w:val="0"/>
          <w:sz w:val="32"/>
          <w:szCs w:val="32"/>
          <w:highlight w:val="none"/>
        </w:rPr>
        <w:t>，增长</w:t>
      </w:r>
      <w:r>
        <w:rPr>
          <w:rFonts w:hint="eastAsia" w:ascii="仿宋_GB2312" w:hAnsi="宋体" w:eastAsia="仿宋_GB2312" w:cs="宋体"/>
          <w:kern w:val="0"/>
          <w:sz w:val="32"/>
          <w:szCs w:val="32"/>
          <w:highlight w:val="none"/>
          <w:lang w:val="en-US" w:eastAsia="zh-CN"/>
        </w:rPr>
        <w:t>20</w:t>
      </w:r>
      <w:r>
        <w:rPr>
          <w:rFonts w:ascii="仿宋_GB2312" w:hAnsi="宋体" w:eastAsia="仿宋_GB2312" w:cs="宋体"/>
          <w:kern w:val="0"/>
          <w:sz w:val="32"/>
          <w:szCs w:val="32"/>
          <w:highlight w:val="none"/>
        </w:rPr>
        <w:t>%。主要</w:t>
      </w:r>
      <w:r>
        <w:rPr>
          <w:rFonts w:hint="eastAsia" w:ascii="仿宋_GB2312" w:hAnsi="宋体" w:eastAsia="仿宋_GB2312" w:cs="宋体"/>
          <w:kern w:val="0"/>
          <w:sz w:val="32"/>
          <w:szCs w:val="32"/>
          <w:highlight w:val="none"/>
        </w:rPr>
        <w:t>原因</w:t>
      </w:r>
      <w:r>
        <w:rPr>
          <w:rFonts w:ascii="仿宋_GB2312" w:hAnsi="宋体" w:eastAsia="仿宋_GB2312" w:cs="宋体"/>
          <w:kern w:val="0"/>
          <w:sz w:val="32"/>
          <w:szCs w:val="32"/>
          <w:highlight w:val="none"/>
        </w:rPr>
        <w:t>是：</w:t>
      </w:r>
      <w:r>
        <w:rPr>
          <w:rFonts w:hint="eastAsia" w:ascii="仿宋_GB2312" w:hAnsi="宋体" w:eastAsia="仿宋_GB2312" w:cs="宋体"/>
          <w:kern w:val="0"/>
          <w:sz w:val="32"/>
          <w:szCs w:val="32"/>
          <w:highlight w:val="none"/>
          <w:lang w:val="en-US" w:eastAsia="zh-CN"/>
        </w:rPr>
        <w:t>年初预算增加军休干部军粮差价和防署降温补助费</w:t>
      </w:r>
      <w:r>
        <w:rPr>
          <w:rFonts w:hint="eastAsia" w:ascii="仿宋_GB2312" w:hAnsi="宋体" w:eastAsia="仿宋_GB2312" w:cs="宋体"/>
          <w:kern w:val="0"/>
          <w:sz w:val="32"/>
          <w:szCs w:val="32"/>
          <w:highlight w:val="none"/>
        </w:rPr>
        <w:t>。</w:t>
      </w:r>
    </w:p>
    <w:p>
      <w:pPr>
        <w:spacing w:line="560" w:lineRule="exact"/>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社会保障和就业支出</w:t>
      </w:r>
      <w:r>
        <w:rPr>
          <w:rFonts w:hint="eastAsia" w:ascii="仿宋_GB2312" w:eastAsia="仿宋_GB2312"/>
          <w:sz w:val="32"/>
          <w:szCs w:val="32"/>
        </w:rPr>
        <w:t>（</w:t>
      </w:r>
      <w:r>
        <w:rPr>
          <w:rFonts w:hint="eastAsia" w:ascii="仿宋_GB2312" w:eastAsia="仿宋_GB2312"/>
          <w:sz w:val="32"/>
          <w:szCs w:val="32"/>
          <w:lang w:eastAsia="zh-CN"/>
        </w:rPr>
        <w:t>类：</w:t>
      </w:r>
      <w:r>
        <w:rPr>
          <w:rFonts w:hint="eastAsia" w:ascii="仿宋_GB2312" w:eastAsia="仿宋_GB2312"/>
          <w:sz w:val="32"/>
          <w:szCs w:val="32"/>
        </w:rPr>
        <w:t>208）</w:t>
      </w:r>
      <w:r>
        <w:rPr>
          <w:rFonts w:hint="eastAsia" w:ascii="仿宋_GB2312" w:eastAsia="仿宋_GB2312"/>
          <w:sz w:val="32"/>
          <w:szCs w:val="32"/>
          <w:lang w:val="en-US" w:eastAsia="zh-CN"/>
        </w:rPr>
        <w:t>847.38</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 xml:space="preserve">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1、社会保障和就业支出</w:t>
      </w:r>
      <w:r>
        <w:rPr>
          <w:rFonts w:ascii="仿宋_GB2312" w:hAnsi="宋体" w:eastAsia="仿宋_GB2312" w:cs="宋体"/>
          <w:kern w:val="0"/>
          <w:sz w:val="32"/>
          <w:szCs w:val="32"/>
        </w:rPr>
        <w:t>（</w:t>
      </w:r>
      <w:r>
        <w:rPr>
          <w:rFonts w:hint="eastAsia" w:ascii="仿宋_GB2312" w:hAnsi="宋体" w:eastAsia="仿宋_GB2312" w:cs="宋体"/>
          <w:kern w:val="0"/>
          <w:sz w:val="32"/>
          <w:szCs w:val="32"/>
          <w:lang w:eastAsia="zh-CN"/>
        </w:rPr>
        <w:t>类：</w:t>
      </w:r>
      <w:r>
        <w:rPr>
          <w:rFonts w:hint="eastAsia" w:ascii="仿宋_GB2312" w:hAnsi="宋体" w:eastAsia="仿宋_GB2312" w:cs="宋体"/>
          <w:kern w:val="0"/>
          <w:sz w:val="32"/>
          <w:szCs w:val="32"/>
        </w:rPr>
        <w:t>208</w:t>
      </w:r>
      <w:r>
        <w:rPr>
          <w:rFonts w:ascii="仿宋_GB2312" w:hAnsi="宋体" w:eastAsia="仿宋_GB2312" w:cs="宋体"/>
          <w:kern w:val="0"/>
          <w:sz w:val="32"/>
          <w:szCs w:val="32"/>
        </w:rPr>
        <w:t>）</w:t>
      </w:r>
      <w:r>
        <w:rPr>
          <w:rFonts w:hint="eastAsia" w:ascii="仿宋_GB2312" w:hAnsi="宋体" w:eastAsia="仿宋_GB2312" w:cs="宋体"/>
          <w:kern w:val="0"/>
          <w:sz w:val="32"/>
          <w:szCs w:val="32"/>
        </w:rPr>
        <w:t>退役军人管理事务</w:t>
      </w:r>
      <w:r>
        <w:rPr>
          <w:rFonts w:ascii="仿宋_GB2312" w:hAnsi="宋体" w:eastAsia="仿宋_GB2312" w:cs="宋体"/>
          <w:kern w:val="0"/>
          <w:sz w:val="32"/>
          <w:szCs w:val="32"/>
        </w:rPr>
        <w:t>（</w:t>
      </w:r>
      <w:r>
        <w:rPr>
          <w:rFonts w:hint="eastAsia" w:ascii="仿宋_GB2312" w:hAnsi="宋体" w:eastAsia="仿宋_GB2312" w:cs="宋体"/>
          <w:kern w:val="0"/>
          <w:sz w:val="32"/>
          <w:szCs w:val="32"/>
          <w:lang w:eastAsia="zh-CN"/>
        </w:rPr>
        <w:t>款：</w:t>
      </w:r>
      <w:r>
        <w:rPr>
          <w:rFonts w:hint="eastAsia" w:ascii="仿宋_GB2312" w:hAnsi="宋体" w:eastAsia="仿宋_GB2312" w:cs="宋体"/>
          <w:kern w:val="0"/>
          <w:sz w:val="32"/>
          <w:szCs w:val="32"/>
        </w:rPr>
        <w:t>28</w:t>
      </w:r>
      <w:r>
        <w:rPr>
          <w:rFonts w:ascii="仿宋_GB2312" w:hAnsi="宋体" w:eastAsia="仿宋_GB2312" w:cs="宋体"/>
          <w:kern w:val="0"/>
          <w:sz w:val="32"/>
          <w:szCs w:val="32"/>
        </w:rPr>
        <w:t>）行政运行（</w:t>
      </w:r>
      <w:r>
        <w:rPr>
          <w:rFonts w:hint="eastAsia" w:ascii="仿宋_GB2312" w:hAnsi="宋体" w:eastAsia="仿宋_GB2312" w:cs="宋体"/>
          <w:kern w:val="0"/>
          <w:sz w:val="32"/>
          <w:szCs w:val="32"/>
          <w:lang w:eastAsia="zh-CN"/>
        </w:rPr>
        <w:t>项：</w:t>
      </w:r>
      <w:r>
        <w:rPr>
          <w:rFonts w:hint="eastAsia" w:ascii="仿宋_GB2312" w:hAnsi="宋体" w:eastAsia="仿宋_GB2312" w:cs="宋体"/>
          <w:kern w:val="0"/>
          <w:sz w:val="32"/>
          <w:szCs w:val="32"/>
        </w:rPr>
        <w:t>01</w:t>
      </w:r>
      <w:r>
        <w:rPr>
          <w:rFonts w:ascii="仿宋_GB2312" w:hAnsi="宋体" w:eastAsia="仿宋_GB2312" w:cs="宋体"/>
          <w:kern w:val="0"/>
          <w:sz w:val="32"/>
          <w:szCs w:val="32"/>
        </w:rPr>
        <w:t>）:</w:t>
      </w:r>
      <w:r>
        <w:rPr>
          <w:rFonts w:hint="eastAsia" w:ascii="仿宋_GB2312" w:hAnsi="宋体" w:eastAsia="仿宋_GB2312" w:cs="宋体"/>
          <w:kern w:val="0"/>
          <w:sz w:val="32"/>
          <w:szCs w:val="32"/>
        </w:rPr>
        <w:t>2021</w:t>
      </w:r>
      <w:r>
        <w:rPr>
          <w:rFonts w:ascii="仿宋_GB2312" w:hAnsi="宋体" w:eastAsia="仿宋_GB2312" w:cs="宋体"/>
          <w:kern w:val="0"/>
          <w:sz w:val="32"/>
          <w:szCs w:val="32"/>
        </w:rPr>
        <w:t>年预算数为</w:t>
      </w:r>
      <w:r>
        <w:rPr>
          <w:rFonts w:hint="eastAsia" w:ascii="仿宋_GB2312" w:eastAsia="仿宋_GB2312"/>
          <w:sz w:val="32"/>
          <w:szCs w:val="32"/>
        </w:rPr>
        <w:t>835.34</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w:t>
      </w:r>
      <w:r>
        <w:rPr>
          <w:rFonts w:hint="eastAsia" w:ascii="仿宋_GB2312" w:hAnsi="宋体" w:eastAsia="仿宋_GB2312" w:cs="宋体"/>
          <w:kern w:val="0"/>
          <w:sz w:val="32"/>
          <w:szCs w:val="32"/>
          <w:highlight w:val="none"/>
        </w:rPr>
        <w:t>上年</w:t>
      </w:r>
      <w:r>
        <w:rPr>
          <w:rFonts w:hint="eastAsia" w:ascii="仿宋_GB2312" w:hAnsi="宋体" w:eastAsia="仿宋_GB2312" w:cs="宋体"/>
          <w:kern w:val="0"/>
          <w:sz w:val="32"/>
          <w:szCs w:val="32"/>
          <w:highlight w:val="none"/>
          <w:lang w:val="en-US" w:eastAsia="zh-CN"/>
        </w:rPr>
        <w:t>预算</w:t>
      </w:r>
      <w:r>
        <w:rPr>
          <w:rFonts w:hint="eastAsia" w:ascii="仿宋_GB2312" w:hAnsi="宋体" w:eastAsia="仿宋_GB2312" w:cs="宋体"/>
          <w:kern w:val="0"/>
          <w:sz w:val="32"/>
          <w:szCs w:val="32"/>
        </w:rPr>
        <w:t>增</w:t>
      </w:r>
      <w:r>
        <w:rPr>
          <w:rFonts w:hint="eastAsia" w:ascii="仿宋_GB2312" w:hAnsi="宋体" w:eastAsia="仿宋_GB2312" w:cs="宋体"/>
          <w:kern w:val="0"/>
          <w:sz w:val="32"/>
          <w:szCs w:val="32"/>
          <w:lang w:val="en-US" w:eastAsia="zh-CN"/>
        </w:rPr>
        <w:t>加174.41</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26</w:t>
      </w:r>
      <w:r>
        <w:rPr>
          <w:rFonts w:hint="eastAsia" w:ascii="仿宋_GB2312" w:hAnsi="宋体" w:eastAsia="仿宋_GB2312" w:cs="宋体"/>
          <w:kern w:val="0"/>
          <w:sz w:val="32"/>
          <w:szCs w:val="32"/>
        </w:rPr>
        <w:t xml:space="preserve"> %，主要原因是：人员职务晋升，</w:t>
      </w:r>
      <w:r>
        <w:rPr>
          <w:rFonts w:hint="eastAsia" w:ascii="仿宋_GB2312" w:hAnsi="宋体" w:eastAsia="仿宋_GB2312" w:cs="宋体"/>
          <w:kern w:val="0"/>
          <w:sz w:val="32"/>
          <w:szCs w:val="32"/>
          <w:lang w:val="en-US" w:eastAsia="zh-CN"/>
        </w:rPr>
        <w:t>工资收入增加</w:t>
      </w:r>
      <w:r>
        <w:rPr>
          <w:rFonts w:hint="eastAsia" w:ascii="仿宋_GB2312" w:hAnsi="宋体" w:eastAsia="仿宋_GB2312" w:cs="宋体"/>
          <w:kern w:val="0"/>
          <w:sz w:val="32"/>
          <w:szCs w:val="32"/>
        </w:rPr>
        <w:t>。</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w:t>
      </w:r>
      <w:r>
        <w:rPr>
          <w:rFonts w:hint="eastAsia" w:ascii="仿宋_GB2312" w:hAnsi="宋体" w:eastAsia="仿宋_GB2312" w:cs="宋体"/>
          <w:kern w:val="0"/>
          <w:sz w:val="32"/>
          <w:szCs w:val="32"/>
          <w:lang w:eastAsia="zh-CN"/>
        </w:rPr>
        <w:t>社会保障和就业</w:t>
      </w:r>
      <w:r>
        <w:rPr>
          <w:rFonts w:hint="eastAsia" w:ascii="仿宋_GB2312" w:hAnsi="宋体" w:eastAsia="仿宋_GB2312" w:cs="宋体"/>
          <w:kern w:val="0"/>
          <w:sz w:val="32"/>
          <w:szCs w:val="32"/>
        </w:rPr>
        <w:t>支出</w:t>
      </w:r>
      <w:r>
        <w:rPr>
          <w:rFonts w:ascii="仿宋_GB2312" w:hAnsi="宋体" w:eastAsia="仿宋_GB2312" w:cs="宋体"/>
          <w:kern w:val="0"/>
          <w:sz w:val="32"/>
          <w:szCs w:val="32"/>
        </w:rPr>
        <w:t>（</w:t>
      </w:r>
      <w:r>
        <w:rPr>
          <w:rFonts w:hint="eastAsia" w:ascii="仿宋_GB2312" w:hAnsi="宋体" w:eastAsia="仿宋_GB2312" w:cs="宋体"/>
          <w:kern w:val="0"/>
          <w:sz w:val="32"/>
          <w:szCs w:val="32"/>
          <w:lang w:eastAsia="zh-CN"/>
        </w:rPr>
        <w:t>类：</w:t>
      </w:r>
      <w:r>
        <w:rPr>
          <w:rFonts w:hint="eastAsia" w:ascii="仿宋_GB2312" w:hAnsi="宋体" w:eastAsia="仿宋_GB2312" w:cs="宋体"/>
          <w:kern w:val="0"/>
          <w:sz w:val="32"/>
          <w:szCs w:val="32"/>
          <w:lang w:val="en-US" w:eastAsia="zh-CN"/>
        </w:rPr>
        <w:t>208</w:t>
      </w:r>
      <w:r>
        <w:rPr>
          <w:rFonts w:ascii="仿宋_GB2312" w:hAnsi="宋体" w:eastAsia="仿宋_GB2312" w:cs="宋体"/>
          <w:kern w:val="0"/>
          <w:sz w:val="32"/>
          <w:szCs w:val="32"/>
        </w:rPr>
        <w:t>）</w:t>
      </w:r>
      <w:r>
        <w:rPr>
          <w:rFonts w:hint="eastAsia" w:ascii="仿宋_GB2312" w:hAnsi="宋体" w:eastAsia="仿宋_GB2312" w:cs="宋体"/>
          <w:kern w:val="0"/>
          <w:sz w:val="32"/>
          <w:szCs w:val="32"/>
          <w:lang w:eastAsia="zh-CN"/>
        </w:rPr>
        <w:t>退役军人管理事务</w:t>
      </w:r>
      <w:r>
        <w:rPr>
          <w:rFonts w:ascii="仿宋_GB2312" w:hAnsi="宋体" w:eastAsia="仿宋_GB2312" w:cs="宋体"/>
          <w:kern w:val="0"/>
          <w:sz w:val="32"/>
          <w:szCs w:val="32"/>
        </w:rPr>
        <w:t>（</w:t>
      </w:r>
      <w:r>
        <w:rPr>
          <w:rFonts w:hint="eastAsia" w:ascii="仿宋_GB2312" w:hAnsi="宋体" w:eastAsia="仿宋_GB2312" w:cs="宋体"/>
          <w:kern w:val="0"/>
          <w:sz w:val="32"/>
          <w:szCs w:val="32"/>
          <w:lang w:eastAsia="zh-CN"/>
        </w:rPr>
        <w:t>款：</w:t>
      </w:r>
      <w:r>
        <w:rPr>
          <w:rFonts w:hint="eastAsia" w:ascii="仿宋_GB2312" w:hAnsi="宋体" w:eastAsia="仿宋_GB2312" w:cs="宋体"/>
          <w:kern w:val="0"/>
          <w:sz w:val="32"/>
          <w:szCs w:val="32"/>
          <w:lang w:val="en-US" w:eastAsia="zh-CN"/>
        </w:rPr>
        <w:t>28</w:t>
      </w:r>
      <w:r>
        <w:rPr>
          <w:rFonts w:ascii="仿宋_GB2312" w:hAnsi="宋体" w:eastAsia="仿宋_GB2312" w:cs="宋体"/>
          <w:kern w:val="0"/>
          <w:sz w:val="32"/>
          <w:szCs w:val="32"/>
        </w:rPr>
        <w:t>）行政运行（</w:t>
      </w:r>
      <w:r>
        <w:rPr>
          <w:rFonts w:hint="eastAsia" w:ascii="仿宋_GB2312" w:hAnsi="宋体" w:eastAsia="仿宋_GB2312" w:cs="宋体"/>
          <w:kern w:val="0"/>
          <w:sz w:val="32"/>
          <w:szCs w:val="32"/>
          <w:lang w:eastAsia="zh-CN"/>
        </w:rPr>
        <w:t>项：</w:t>
      </w:r>
      <w:r>
        <w:rPr>
          <w:rFonts w:hint="eastAsia" w:ascii="仿宋_GB2312" w:hAnsi="宋体" w:eastAsia="仿宋_GB2312" w:cs="宋体"/>
          <w:kern w:val="0"/>
          <w:sz w:val="32"/>
          <w:szCs w:val="32"/>
          <w:lang w:val="en-US" w:eastAsia="zh-CN"/>
        </w:rPr>
        <w:t>99）</w:t>
      </w:r>
      <w:r>
        <w:rPr>
          <w:rFonts w:ascii="仿宋_GB2312" w:hAnsi="宋体" w:eastAsia="仿宋_GB2312" w:cs="宋体"/>
          <w:kern w:val="0"/>
          <w:sz w:val="32"/>
          <w:szCs w:val="32"/>
        </w:rPr>
        <w:t>:</w:t>
      </w:r>
      <w:r>
        <w:rPr>
          <w:rFonts w:hint="eastAsia" w:ascii="仿宋_GB2312" w:hAnsi="宋体" w:eastAsia="仿宋_GB2312" w:cs="宋体"/>
          <w:kern w:val="0"/>
          <w:sz w:val="32"/>
          <w:szCs w:val="32"/>
        </w:rPr>
        <w:t>2021</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12.04</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w:t>
      </w:r>
      <w:r>
        <w:rPr>
          <w:rFonts w:hint="eastAsia" w:ascii="仿宋_GB2312" w:hAnsi="宋体" w:eastAsia="仿宋_GB2312" w:cs="宋体"/>
          <w:kern w:val="0"/>
          <w:sz w:val="32"/>
          <w:szCs w:val="32"/>
          <w:highlight w:val="none"/>
        </w:rPr>
        <w:t>年</w:t>
      </w:r>
      <w:r>
        <w:rPr>
          <w:rFonts w:hint="eastAsia" w:ascii="仿宋_GB2312" w:hAnsi="宋体" w:eastAsia="仿宋_GB2312" w:cs="宋体"/>
          <w:kern w:val="0"/>
          <w:sz w:val="32"/>
          <w:szCs w:val="32"/>
          <w:highlight w:val="none"/>
          <w:lang w:val="en-US" w:eastAsia="zh-CN"/>
        </w:rPr>
        <w:t>预算</w:t>
      </w:r>
      <w:r>
        <w:rPr>
          <w:rFonts w:hint="eastAsia" w:ascii="仿宋_GB2312" w:hAnsi="宋体" w:eastAsia="仿宋_GB2312" w:cs="宋体"/>
          <w:kern w:val="0"/>
          <w:sz w:val="32"/>
          <w:szCs w:val="32"/>
        </w:rPr>
        <w:t>增加2.04万元，增长</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 xml:space="preserve"> %，主要原因是：</w:t>
      </w:r>
      <w:r>
        <w:rPr>
          <w:rFonts w:hint="eastAsia" w:ascii="仿宋_GB2312" w:hAnsi="宋体" w:eastAsia="仿宋_GB2312" w:cs="宋体"/>
          <w:kern w:val="0"/>
          <w:sz w:val="32"/>
          <w:szCs w:val="32"/>
          <w:lang w:val="en-US" w:eastAsia="zh-CN"/>
        </w:rPr>
        <w:t>2021年年初预算增加</w:t>
      </w:r>
      <w:r>
        <w:rPr>
          <w:rFonts w:hint="eastAsia" w:ascii="仿宋_GB2312" w:hAnsi="宋体" w:eastAsia="仿宋_GB2312" w:cs="宋体"/>
          <w:kern w:val="0"/>
          <w:sz w:val="32"/>
          <w:szCs w:val="32"/>
        </w:rPr>
        <w:t>军休干部防暑降温和</w:t>
      </w:r>
      <w:r>
        <w:rPr>
          <w:rFonts w:hint="eastAsia" w:ascii="仿宋_GB2312" w:hAnsi="宋体" w:eastAsia="仿宋_GB2312" w:cs="宋体"/>
          <w:kern w:val="0"/>
          <w:sz w:val="32"/>
          <w:szCs w:val="32"/>
          <w:lang w:val="en-US" w:eastAsia="zh-CN"/>
        </w:rPr>
        <w:t>军</w:t>
      </w:r>
      <w:r>
        <w:rPr>
          <w:rFonts w:hint="eastAsia" w:ascii="仿宋_GB2312" w:hAnsi="宋体" w:eastAsia="仿宋_GB2312" w:cs="宋体"/>
          <w:kern w:val="0"/>
          <w:sz w:val="32"/>
          <w:szCs w:val="32"/>
        </w:rPr>
        <w:t>粮差价补助。</w:t>
      </w:r>
    </w:p>
    <w:p>
      <w:pPr>
        <w:spacing w:line="560" w:lineRule="exact"/>
        <w:ind w:firstLine="640" w:firstLineChars="200"/>
        <w:rPr>
          <w:rFonts w:hint="eastAsia"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eastAsia="zh-CN"/>
        </w:rPr>
        <w:t>克孜勒苏柯尔克孜自治州退役军人事务局</w:t>
      </w:r>
      <w:r>
        <w:rPr>
          <w:rFonts w:hint="eastAsia" w:ascii="黑体" w:hAnsi="宋体" w:eastAsia="黑体" w:cs="宋体"/>
          <w:kern w:val="0"/>
          <w:sz w:val="32"/>
          <w:szCs w:val="32"/>
        </w:rPr>
        <w:t>2021年一般公共预算基本支出情况说明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克孜勒苏柯尔克孜自治州退役军人事务局</w:t>
      </w:r>
      <w:r>
        <w:rPr>
          <w:rFonts w:hint="eastAsia" w:ascii="仿宋_GB2312" w:hAnsi="宋体" w:eastAsia="仿宋_GB2312" w:cs="宋体"/>
          <w:kern w:val="0"/>
          <w:sz w:val="32"/>
          <w:szCs w:val="32"/>
        </w:rPr>
        <w:t>2021年一般公共预算基本支出835.34万元，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828.19万元，主要包括：基本工资45.77万元、津贴补贴57.6万元、奖金4万元、奖励金0.01万元、机关事业单位基本养老保险缴费14.39万元、其他社会保障缴费56.49万元、住房公积金10.23万元、生活补助23.58万元、退休费602.79万元、其他对个人和家庭的补助4.32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7.15万元，主要包括：办公费1.7万元、印刷费0.1万元、水费0.05万元、电费0.10万元、邮电费0.8万元、差旅费0.5万元、公务接待费0万元、劳务费0.05万元、工会经费0.62万元、福利费1.12万元、公务用车运行维护费1.5万元、办公设备购置0.6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宋体" w:eastAsia="黑体" w:cs="宋体"/>
          <w:kern w:val="0"/>
          <w:sz w:val="32"/>
          <w:szCs w:val="32"/>
          <w:lang w:eastAsia="zh-CN"/>
        </w:rPr>
        <w:t>克孜勒苏柯尔克孜自治州退役军人事务局</w:t>
      </w:r>
      <w:r>
        <w:rPr>
          <w:rFonts w:hint="eastAsia" w:ascii="黑体" w:hAnsi="宋体" w:eastAsia="黑体" w:cs="宋体"/>
          <w:kern w:val="0"/>
          <w:sz w:val="32"/>
          <w:szCs w:val="32"/>
        </w:rPr>
        <w:t>2021年一般公共预算项目支出情况说明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情况一：（项目支出、专项业务费按下列内容说明）</w:t>
      </w:r>
    </w:p>
    <w:p>
      <w:pPr>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退役军人事务工作经费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：开展退役军人事务工作日常开支</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：10万元</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黑体" w:eastAsia="仿宋_GB2312"/>
          <w:sz w:val="32"/>
          <w:szCs w:val="32"/>
          <w:lang w:eastAsia="zh-CN"/>
        </w:rPr>
        <w:t>克孜勒苏柯尔克孜自治州退役军人事务局</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：全年</w:t>
      </w:r>
    </w:p>
    <w:p>
      <w:pPr>
        <w:spacing w:line="560" w:lineRule="exact"/>
        <w:ind w:firstLine="640" w:firstLineChars="200"/>
        <w:rPr>
          <w:rFonts w:hint="eastAsia"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：2021年1-12月</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情况二：（</w:t>
      </w:r>
      <w:r>
        <w:rPr>
          <w:rFonts w:ascii="仿宋_GB2312" w:hAnsi="宋体" w:eastAsia="仿宋_GB2312"/>
          <w:b/>
          <w:sz w:val="32"/>
          <w:szCs w:val="22"/>
        </w:rPr>
        <w:t>属于</w:t>
      </w:r>
      <w:r>
        <w:rPr>
          <w:rFonts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：军粮差价、防暑降温补助费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：为军休干部发放军粮差价、防暑降温补助费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：2.04</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黑体" w:eastAsia="仿宋_GB2312"/>
          <w:sz w:val="32"/>
          <w:szCs w:val="32"/>
          <w:lang w:eastAsia="zh-CN"/>
        </w:rPr>
        <w:t>克孜勒苏柯尔克孜自治州退役军人事务局</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：全年</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：2021年7月</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资金来源</w:t>
      </w:r>
      <w:r>
        <w:rPr>
          <w:rFonts w:hint="eastAsia" w:ascii="仿宋_GB2312" w:hAnsi="黑体" w:eastAsia="仿宋_GB2312"/>
          <w:sz w:val="32"/>
          <w:szCs w:val="32"/>
        </w:rPr>
        <w:t>：财政拨款</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rPr>
        <w:t>18人</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宋体" w:eastAsia="仿宋_GB2312" w:cs="宋体"/>
          <w:kern w:val="0"/>
          <w:sz w:val="32"/>
          <w:szCs w:val="32"/>
        </w:rPr>
        <w:t>1022/人</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宋体" w:eastAsia="仿宋_GB2312" w:cs="宋体"/>
          <w:kern w:val="0"/>
          <w:sz w:val="32"/>
          <w:szCs w:val="32"/>
        </w:rPr>
        <w:t>军休干部</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rPr>
        <w:t>代发</w:t>
      </w:r>
    </w:p>
    <w:p>
      <w:pPr>
        <w:spacing w:line="560" w:lineRule="exact"/>
        <w:ind w:firstLine="640" w:firstLineChars="200"/>
        <w:rPr>
          <w:rFonts w:ascii="仿宋_GB2312" w:hAnsi="宋体" w:eastAsia="仿宋_GB2312"/>
          <w:sz w:val="32"/>
          <w:szCs w:val="22"/>
        </w:rPr>
      </w:pPr>
      <w:r>
        <w:rPr>
          <w:rFonts w:hint="eastAsia" w:ascii="仿宋_GB2312" w:hAnsi="宋体" w:eastAsia="仿宋_GB2312" w:cs="宋体"/>
          <w:kern w:val="0"/>
          <w:sz w:val="32"/>
          <w:szCs w:val="32"/>
        </w:rPr>
        <w:t>发放程序：年初预算</w:t>
      </w:r>
    </w:p>
    <w:p>
      <w:pPr>
        <w:spacing w:line="560" w:lineRule="exact"/>
        <w:ind w:firstLine="640" w:firstLineChars="200"/>
        <w:rPr>
          <w:rFonts w:hint="eastAsia" w:ascii="仿宋_GB2312" w:hAnsi="宋体" w:eastAsia="仿宋_GB2312" w:cs="宋体"/>
          <w:kern w:val="0"/>
          <w:sz w:val="32"/>
          <w:szCs w:val="32"/>
        </w:rPr>
      </w:pPr>
      <w:r>
        <w:rPr>
          <w:rFonts w:ascii="仿宋_GB2312" w:hAnsi="宋体" w:eastAsia="仿宋_GB2312"/>
          <w:sz w:val="32"/>
          <w:szCs w:val="22"/>
        </w:rPr>
        <w:t>受益人群和社会效益</w:t>
      </w:r>
      <w:r>
        <w:rPr>
          <w:rFonts w:hint="eastAsia" w:ascii="仿宋_GB2312" w:hAnsi="黑体" w:eastAsia="仿宋_GB2312"/>
          <w:sz w:val="32"/>
          <w:szCs w:val="32"/>
        </w:rPr>
        <w:t>：</w:t>
      </w:r>
      <w:r>
        <w:rPr>
          <w:rFonts w:hint="eastAsia" w:ascii="仿宋_GB2312" w:hAnsi="宋体" w:eastAsia="仿宋_GB2312" w:cs="宋体"/>
          <w:kern w:val="0"/>
          <w:sz w:val="32"/>
          <w:szCs w:val="32"/>
        </w:rPr>
        <w:t>军休干部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eastAsia="zh-CN"/>
        </w:rPr>
        <w:t>克孜勒苏柯尔克孜自治州退役军人事务局</w:t>
      </w:r>
      <w:r>
        <w:rPr>
          <w:rFonts w:hint="eastAsia" w:ascii="黑体" w:hAnsi="宋体" w:eastAsia="黑体" w:cs="宋体"/>
          <w:kern w:val="0"/>
          <w:sz w:val="32"/>
          <w:szCs w:val="32"/>
        </w:rPr>
        <w:t>2021年一般公共预算“三公”经费预算情况说明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克孜勒苏柯尔克孜自治州退役军人事务局</w:t>
      </w:r>
      <w:r>
        <w:rPr>
          <w:rFonts w:hint="eastAsia" w:ascii="仿宋_GB2312" w:hAnsi="宋体" w:eastAsia="仿宋_GB2312" w:cs="宋体"/>
          <w:kern w:val="0"/>
          <w:sz w:val="32"/>
          <w:szCs w:val="32"/>
        </w:rPr>
        <w:t>2021年“三公”经费财政拨款预算数为1.5万元，其中：因公出国（境）费 0万元，公务用车购置0万元，公务用车运行费1.5万元，公务接待费0万元。</w:t>
      </w:r>
    </w:p>
    <w:p>
      <w:pPr>
        <w:spacing w:line="56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rPr>
        <w:t>2021年“三公”经费财政拨款预算比上年减少</w:t>
      </w:r>
      <w:r>
        <w:rPr>
          <w:rFonts w:hint="eastAsia" w:ascii="仿宋_GB2312" w:hAnsi="宋体" w:eastAsia="仿宋_GB2312" w:cs="宋体"/>
          <w:kern w:val="0"/>
          <w:sz w:val="32"/>
          <w:szCs w:val="32"/>
          <w:lang w:val="en-US" w:eastAsia="zh-CN"/>
        </w:rPr>
        <w:t>2.1</w:t>
      </w:r>
      <w:r>
        <w:rPr>
          <w:rFonts w:hint="eastAsia" w:ascii="仿宋_GB2312" w:hAnsi="宋体" w:eastAsia="仿宋_GB2312" w:cs="宋体"/>
          <w:kern w:val="0"/>
          <w:sz w:val="32"/>
          <w:szCs w:val="32"/>
        </w:rPr>
        <w:t>万元，其中：因公出国（境）费增加0万元，主要原因是</w:t>
      </w:r>
      <w:r>
        <w:rPr>
          <w:rFonts w:hint="eastAsia" w:ascii="仿宋_GB2312" w:hAnsi="宋体" w:eastAsia="仿宋_GB2312" w:cs="宋体"/>
          <w:kern w:val="0"/>
          <w:sz w:val="32"/>
          <w:szCs w:val="32"/>
          <w:lang w:eastAsia="zh-CN"/>
        </w:rPr>
        <w:t>与上年一致</w:t>
      </w:r>
      <w:r>
        <w:rPr>
          <w:rFonts w:hint="eastAsia" w:ascii="仿宋_GB2312" w:hAnsi="宋体" w:eastAsia="仿宋_GB2312" w:cs="宋体"/>
          <w:kern w:val="0"/>
          <w:sz w:val="32"/>
          <w:szCs w:val="32"/>
        </w:rPr>
        <w:t>；公务用车购置费为0，未安排预算</w:t>
      </w:r>
      <w:r>
        <w:rPr>
          <w:rFonts w:hint="eastAsia" w:ascii="仿宋_GB2312" w:hAnsi="宋体" w:eastAsia="仿宋_GB2312" w:cs="宋体"/>
          <w:kern w:val="0"/>
          <w:sz w:val="32"/>
          <w:szCs w:val="32"/>
          <w:highlight w:val="none"/>
        </w:rPr>
        <w:t>；公务用车运行费</w:t>
      </w:r>
      <w:r>
        <w:rPr>
          <w:rFonts w:hint="eastAsia" w:ascii="仿宋_GB2312" w:hAnsi="宋体" w:eastAsia="仿宋_GB2312" w:cs="宋体"/>
          <w:kern w:val="0"/>
          <w:sz w:val="32"/>
          <w:szCs w:val="32"/>
          <w:highlight w:val="none"/>
          <w:lang w:eastAsia="zh-CN"/>
        </w:rPr>
        <w:t>减少</w:t>
      </w:r>
      <w:r>
        <w:rPr>
          <w:rFonts w:hint="eastAsia" w:ascii="仿宋_GB2312" w:hAnsi="宋体" w:eastAsia="仿宋_GB2312" w:cs="宋体"/>
          <w:kern w:val="0"/>
          <w:sz w:val="32"/>
          <w:szCs w:val="32"/>
          <w:highlight w:val="none"/>
          <w:lang w:val="en-US" w:eastAsia="zh-CN"/>
        </w:rPr>
        <w:t>2</w:t>
      </w:r>
      <w:r>
        <w:rPr>
          <w:rFonts w:hint="eastAsia" w:ascii="仿宋_GB2312" w:hAnsi="宋体" w:eastAsia="仿宋_GB2312" w:cs="宋体"/>
          <w:kern w:val="0"/>
          <w:sz w:val="32"/>
          <w:szCs w:val="32"/>
          <w:highlight w:val="none"/>
        </w:rPr>
        <w:t>万元，主要原因是压缩三公经费的开支</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严格执行中央八项规定，控制公务接待、厉行节约</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公务接待费减少</w:t>
      </w:r>
      <w:r>
        <w:rPr>
          <w:rFonts w:hint="eastAsia" w:ascii="仿宋_GB2312" w:hAnsi="宋体" w:eastAsia="仿宋_GB2312" w:cs="宋体"/>
          <w:kern w:val="0"/>
          <w:sz w:val="32"/>
          <w:szCs w:val="32"/>
          <w:highlight w:val="none"/>
          <w:lang w:val="en-US" w:eastAsia="zh-CN"/>
        </w:rPr>
        <w:t>0.1</w:t>
      </w:r>
      <w:r>
        <w:rPr>
          <w:rFonts w:hint="eastAsia" w:ascii="仿宋_GB2312" w:hAnsi="宋体" w:eastAsia="仿宋_GB2312" w:cs="宋体"/>
          <w:kern w:val="0"/>
          <w:sz w:val="32"/>
          <w:szCs w:val="32"/>
          <w:highlight w:val="none"/>
        </w:rPr>
        <w:t>万元，主要原因是压缩三公经费的开支</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严格执行中央八项规定，控制公务接待、厉行节约</w:t>
      </w:r>
      <w:r>
        <w:rPr>
          <w:rFonts w:hint="eastAsia" w:ascii="仿宋_GB2312" w:hAnsi="宋体" w:eastAsia="仿宋_GB2312" w:cs="宋体"/>
          <w:kern w:val="0"/>
          <w:sz w:val="32"/>
          <w:szCs w:val="32"/>
          <w:highlight w:val="none"/>
        </w:rPr>
        <w:t>。</w:t>
      </w:r>
    </w:p>
    <w:p>
      <w:pPr>
        <w:spacing w:line="560" w:lineRule="exact"/>
        <w:ind w:firstLine="640" w:firstLineChars="200"/>
        <w:rPr>
          <w:rFonts w:hint="eastAsia" w:ascii="黑体" w:hAnsi="宋体" w:eastAsia="黑体"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eastAsia="zh-CN"/>
        </w:rPr>
        <w:t>克孜勒苏柯尔克孜自治州退役军人事务局</w:t>
      </w:r>
      <w:r>
        <w:rPr>
          <w:rFonts w:hint="eastAsia" w:ascii="黑体" w:hAnsi="宋体" w:eastAsia="黑体" w:cs="宋体"/>
          <w:kern w:val="0"/>
          <w:sz w:val="32"/>
          <w:szCs w:val="32"/>
        </w:rPr>
        <w:t>2021年政府性基金预算拨款情况说明</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克孜勒苏柯尔克孜自治州退役军人事务局</w:t>
      </w:r>
      <w:r>
        <w:rPr>
          <w:rFonts w:hint="eastAsia" w:ascii="仿宋_GB2312" w:hAnsi="宋体" w:eastAsia="仿宋_GB2312" w:cs="宋体"/>
          <w:kern w:val="0"/>
          <w:sz w:val="32"/>
          <w:szCs w:val="32"/>
        </w:rPr>
        <w:t>2021年没有使用政府性基金预算拨款安排的支出，政府性基金预算支出情况表为空表。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rPr>
        <w:t>2021年，</w:t>
      </w:r>
      <w:r>
        <w:rPr>
          <w:rFonts w:hint="eastAsia" w:ascii="仿宋_GB2312" w:hAnsi="宋体" w:eastAsia="仿宋_GB2312" w:cs="宋体"/>
          <w:kern w:val="0"/>
          <w:sz w:val="32"/>
          <w:szCs w:val="32"/>
          <w:lang w:eastAsia="zh-CN"/>
        </w:rPr>
        <w:t>克孜勒苏柯尔克孜自治州退役军人事务局</w:t>
      </w:r>
      <w:r>
        <w:rPr>
          <w:rFonts w:hint="eastAsia" w:ascii="仿宋_GB2312" w:hAnsi="宋体" w:eastAsia="仿宋_GB2312" w:cs="宋体"/>
          <w:kern w:val="0"/>
          <w:sz w:val="32"/>
          <w:szCs w:val="32"/>
        </w:rPr>
        <w:t>本级及下属0家行政单位和0家事业单位的机关运行经费财政拨款预算</w:t>
      </w:r>
      <w:r>
        <w:rPr>
          <w:rFonts w:hint="eastAsia" w:ascii="仿宋_GB2312" w:hAnsi="宋体" w:eastAsia="仿宋_GB2312" w:cs="宋体"/>
          <w:kern w:val="0"/>
          <w:sz w:val="32"/>
          <w:szCs w:val="32"/>
          <w:lang w:val="en-US" w:eastAsia="zh-CN"/>
        </w:rPr>
        <w:t>847.38</w:t>
      </w:r>
      <w:r>
        <w:rPr>
          <w:rFonts w:hint="eastAsia" w:ascii="仿宋_GB2312" w:hAnsi="宋体" w:eastAsia="仿宋_GB2312" w:cs="宋体"/>
          <w:kern w:val="0"/>
          <w:sz w:val="32"/>
          <w:szCs w:val="32"/>
          <w:highlight w:val="none"/>
        </w:rPr>
        <w:t>万元，比上年预算增加</w:t>
      </w:r>
      <w:r>
        <w:rPr>
          <w:rFonts w:hint="eastAsia" w:ascii="仿宋_GB2312" w:hAnsi="宋体" w:eastAsia="仿宋_GB2312" w:cs="宋体"/>
          <w:kern w:val="0"/>
          <w:sz w:val="32"/>
          <w:szCs w:val="32"/>
          <w:highlight w:val="none"/>
          <w:lang w:val="en-US" w:eastAsia="zh-CN"/>
        </w:rPr>
        <w:t>176.45</w:t>
      </w:r>
      <w:r>
        <w:rPr>
          <w:rFonts w:hint="eastAsia" w:ascii="仿宋_GB2312" w:hAnsi="宋体" w:eastAsia="仿宋_GB2312" w:cs="宋体"/>
          <w:kern w:val="0"/>
          <w:sz w:val="32"/>
          <w:szCs w:val="32"/>
          <w:highlight w:val="none"/>
        </w:rPr>
        <w:t xml:space="preserve"> 万元，增长</w:t>
      </w:r>
      <w:r>
        <w:rPr>
          <w:rFonts w:hint="eastAsia" w:ascii="仿宋_GB2312" w:hAnsi="宋体" w:eastAsia="仿宋_GB2312" w:cs="宋体"/>
          <w:kern w:val="0"/>
          <w:sz w:val="32"/>
          <w:szCs w:val="32"/>
          <w:highlight w:val="none"/>
          <w:lang w:val="en-US" w:eastAsia="zh-CN"/>
        </w:rPr>
        <w:t>26</w:t>
      </w:r>
      <w:r>
        <w:rPr>
          <w:rFonts w:hint="eastAsia" w:ascii="仿宋_GB2312" w:hAnsi="宋体" w:eastAsia="仿宋_GB2312" w:cs="宋体"/>
          <w:kern w:val="0"/>
          <w:sz w:val="32"/>
          <w:szCs w:val="32"/>
          <w:highlight w:val="none"/>
        </w:rPr>
        <w:t>%。主要原因是</w:t>
      </w:r>
      <w:r>
        <w:rPr>
          <w:rFonts w:hint="eastAsia" w:ascii="仿宋_GB2312" w:hAnsi="宋体" w:eastAsia="仿宋_GB2312" w:cs="宋体"/>
          <w:kern w:val="0"/>
          <w:sz w:val="32"/>
          <w:szCs w:val="32"/>
          <w:highlight w:val="none"/>
          <w:lang w:val="en-US" w:eastAsia="zh-CN"/>
        </w:rPr>
        <w:t>单位人员职务晋升和军休人员定期增资，增加军休干部军粮差价和防暑降温补助</w:t>
      </w:r>
      <w:r>
        <w:rPr>
          <w:rFonts w:hint="eastAsia" w:ascii="仿宋_GB2312" w:hAnsi="宋体" w:eastAsia="仿宋_GB2312" w:cs="宋体"/>
          <w:kern w:val="0"/>
          <w:sz w:val="32"/>
          <w:szCs w:val="32"/>
          <w:highlight w:val="none"/>
        </w:rPr>
        <w:t>。</w:t>
      </w:r>
    </w:p>
    <w:p>
      <w:pPr>
        <w:spacing w:line="560" w:lineRule="exact"/>
        <w:ind w:firstLine="643" w:firstLineChars="200"/>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w:t>
      </w:r>
      <w:r>
        <w:rPr>
          <w:rFonts w:hint="eastAsia" w:ascii="仿宋_GB2312" w:hAnsi="宋体" w:eastAsia="仿宋_GB2312" w:cs="宋体"/>
          <w:kern w:val="0"/>
          <w:sz w:val="32"/>
          <w:szCs w:val="32"/>
          <w:lang w:eastAsia="zh-CN"/>
        </w:rPr>
        <w:t>克孜勒苏柯尔克孜自治州退役军人事务局</w:t>
      </w:r>
      <w:r>
        <w:rPr>
          <w:rFonts w:hint="eastAsia" w:ascii="仿宋_GB2312" w:hAnsi="宋体" w:eastAsia="仿宋_GB2312" w:cs="宋体"/>
          <w:kern w:val="0"/>
          <w:sz w:val="32"/>
          <w:szCs w:val="32"/>
        </w:rPr>
        <w:t>政府采购预算12.1万元，其中：政府采购货物预算8.5万元，政府采购工程预算0万元，政府采购服务预算3.6万元。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2021年度本部门</w:t>
      </w:r>
      <w:r>
        <w:rPr>
          <w:rFonts w:hint="eastAsia" w:ascii="仿宋_GB2312" w:hAnsi="仿宋_GB2312" w:eastAsia="仿宋_GB2312"/>
          <w:sz w:val="32"/>
          <w:lang w:eastAsia="zh-CN"/>
        </w:rPr>
        <w:t>（单位）</w:t>
      </w:r>
      <w:r>
        <w:rPr>
          <w:rFonts w:hint="eastAsia" w:ascii="仿宋_GB2312" w:hAnsi="仿宋_GB2312" w:eastAsia="仿宋_GB2312"/>
          <w:sz w:val="32"/>
        </w:rPr>
        <w:t>面向中小企业预留政府采购项目预算金额0万元，其中：面向小微企业预留政府采购项目预算金额0万元。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截至202</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年底，</w:t>
      </w:r>
      <w:r>
        <w:rPr>
          <w:rFonts w:hint="eastAsia" w:ascii="仿宋_GB2312" w:hAnsi="宋体" w:eastAsia="仿宋_GB2312" w:cs="宋体"/>
          <w:kern w:val="0"/>
          <w:sz w:val="32"/>
          <w:szCs w:val="32"/>
          <w:lang w:eastAsia="zh-CN"/>
        </w:rPr>
        <w:t>克孜勒苏柯尔克孜自治州退役军人事务局</w:t>
      </w:r>
      <w:r>
        <w:rPr>
          <w:rFonts w:hint="eastAsia" w:ascii="仿宋_GB2312" w:hAnsi="宋体" w:eastAsia="仿宋_GB2312" w:cs="宋体"/>
          <w:kern w:val="0"/>
          <w:sz w:val="32"/>
          <w:szCs w:val="32"/>
        </w:rPr>
        <w:t>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1.房屋0平方米，价值0万元。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2.车辆1辆，价值 17.8万元；其中：一般公务用车1辆，价值17.8万元；执法执勤用车0辆，价值0万元；其他车辆0辆，价值0万元。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单位价值50万元以上大型设备0台（套），单位价值100万元以上大型设备0台（套）。</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2021年部门预算未安排购置车辆经费（或安排购置车辆经费0万元），安排购置50万元以上大型设备0台（套），单位价值100万元以上大型设备0台（套）。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2021年度，本年度实行绩效管理的项目2个，涉及预算金额12.04万元。具体情况见下表（按项目分别填报）：</w:t>
      </w: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tbl>
      <w:tblPr>
        <w:tblStyle w:val="7"/>
        <w:tblW w:w="8815" w:type="dxa"/>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Layout w:type="fixed"/>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rPr>
              <w:t>项  目  支  出  绩  效  目  标  表</w:t>
            </w:r>
          </w:p>
        </w:tc>
      </w:tr>
      <w:tr>
        <w:tblPrEx>
          <w:tblLayout w:type="fixed"/>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rPr>
              <w:t>（2021年）</w:t>
            </w:r>
          </w:p>
        </w:tc>
      </w:tr>
      <w:tr>
        <w:tblPrEx>
          <w:tblLayout w:type="fixed"/>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克孜勒苏柯尔克孜自治州退役军人事务局</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sz w:val="18"/>
                <w:szCs w:val="18"/>
              </w:rPr>
              <w:t>军粮差补贴、防暑降温费</w:t>
            </w:r>
          </w:p>
        </w:tc>
      </w:tr>
      <w:tr>
        <w:tblPrEx>
          <w:tblLayout w:type="fixed"/>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2.04</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r>
              <w:rPr>
                <w:rFonts w:hint="eastAsia" w:ascii="宋体" w:hAnsi="宋体" w:cs="宋体"/>
                <w:color w:val="000000"/>
                <w:sz w:val="18"/>
                <w:szCs w:val="18"/>
              </w:rPr>
              <w:t>2.04</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ind w:firstLine="360" w:firstLineChars="200"/>
              <w:jc w:val="left"/>
              <w:rPr>
                <w:rFonts w:ascii="宋体" w:hAnsi="宋体" w:cs="宋体"/>
                <w:color w:val="000000"/>
                <w:sz w:val="18"/>
                <w:szCs w:val="18"/>
              </w:rPr>
            </w:pPr>
            <w:r>
              <w:rPr>
                <w:rFonts w:hint="eastAsia" w:ascii="宋体" w:hAnsi="宋体" w:cs="宋体"/>
                <w:color w:val="000000"/>
                <w:sz w:val="18"/>
                <w:szCs w:val="18"/>
              </w:rPr>
              <w:t>该项目资金用于2021年军休干部军粮差价补贴和防暑降温补贴，通过该项目的实施，确保军休干部</w:t>
            </w:r>
            <w:r>
              <w:rPr>
                <w:rFonts w:hint="eastAsia" w:ascii="宋体" w:hAnsi="宋体" w:cs="宋体"/>
                <w:color w:val="000000"/>
                <w:sz w:val="18"/>
                <w:szCs w:val="18"/>
                <w:lang w:val="en-US" w:eastAsia="zh-CN"/>
              </w:rPr>
              <w:t>军</w:t>
            </w:r>
            <w:r>
              <w:rPr>
                <w:rFonts w:hint="eastAsia" w:ascii="宋体" w:hAnsi="宋体" w:cs="宋体"/>
                <w:color w:val="000000"/>
                <w:sz w:val="18"/>
                <w:szCs w:val="18"/>
              </w:rPr>
              <w:t>粮差价补贴和防暑降温补贴按时发放到位，提升退役军人事务工作的服务水平，维护社会稳定。</w:t>
            </w:r>
          </w:p>
        </w:tc>
      </w:tr>
      <w:tr>
        <w:tblPrEx>
          <w:tblLayout w:type="fixed"/>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指标值（包含数字及文字描述）</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享受补贴军休干部人数（人）</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19</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资金使用合规率（%）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资金拨付及时率（%）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项目完成时间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2021年8月</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工作经费使用（万元）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2.04</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提升工作服务水平</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ascii="宋体" w:hAnsi="宋体" w:cs="宋体"/>
                <w:color w:val="000000"/>
                <w:sz w:val="18"/>
                <w:szCs w:val="18"/>
              </w:rPr>
              <w:t>有效提升</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维护社会稳定</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ascii="宋体" w:hAnsi="宋体" w:cs="宋体"/>
                <w:color w:val="000000"/>
                <w:sz w:val="18"/>
                <w:szCs w:val="18"/>
              </w:rPr>
              <w:t>长期</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军休干部满意度（%）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≥95%</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bl>
    <w:p>
      <w:pPr>
        <w:widowControl/>
        <w:spacing w:line="480" w:lineRule="exact"/>
        <w:rPr>
          <w:rFonts w:ascii="仿宋_GB2312" w:hAnsi="宋体" w:eastAsia="仿宋_GB2312" w:cs="宋体"/>
          <w:kern w:val="0"/>
          <w:sz w:val="32"/>
          <w:szCs w:val="32"/>
        </w:rPr>
        <w:sectPr>
          <w:pgSz w:w="11906" w:h="16838"/>
          <w:pgMar w:top="1440" w:right="1800" w:bottom="1440" w:left="1800" w:header="851" w:footer="992" w:gutter="0"/>
          <w:pgNumType w:fmt="numberInDash"/>
          <w:cols w:space="720" w:num="1"/>
          <w:docGrid w:type="lines" w:linePitch="312" w:charSpace="0"/>
        </w:sectPr>
      </w:pPr>
    </w:p>
    <w:tbl>
      <w:tblPr>
        <w:tblStyle w:val="7"/>
        <w:tblW w:w="8815" w:type="dxa"/>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Layout w:type="fixed"/>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rPr>
              <w:t>项  目  支  出  绩  效  目  标  表</w:t>
            </w:r>
          </w:p>
        </w:tc>
      </w:tr>
      <w:tr>
        <w:tblPrEx>
          <w:tblLayout w:type="fixed"/>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rPr>
              <w:t>（2021年）</w:t>
            </w:r>
          </w:p>
        </w:tc>
      </w:tr>
      <w:tr>
        <w:tblPrEx>
          <w:tblLayout w:type="fixed"/>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rPr>
              <w:t>克孜勒苏柯尔克孜自治州退役军人事务局</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sz w:val="18"/>
                <w:szCs w:val="18"/>
              </w:rPr>
              <w:t>退役军人事务工作经费</w:t>
            </w:r>
          </w:p>
        </w:tc>
      </w:tr>
      <w:tr>
        <w:tblPrEx>
          <w:tblLayout w:type="fixed"/>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r>
              <w:rPr>
                <w:rFonts w:hint="eastAsia" w:ascii="宋体" w:hAnsi="宋体" w:cs="宋体"/>
                <w:color w:val="000000"/>
                <w:sz w:val="18"/>
                <w:szCs w:val="18"/>
              </w:rPr>
              <w:t>10</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ind w:firstLine="360" w:firstLineChars="200"/>
              <w:jc w:val="left"/>
              <w:rPr>
                <w:rFonts w:ascii="宋体" w:hAnsi="宋体" w:cs="宋体"/>
                <w:color w:val="000000"/>
                <w:sz w:val="18"/>
                <w:szCs w:val="18"/>
              </w:rPr>
            </w:pPr>
            <w:r>
              <w:rPr>
                <w:rFonts w:hint="eastAsia" w:ascii="宋体" w:hAnsi="宋体" w:cs="宋体"/>
                <w:color w:val="000000"/>
                <w:sz w:val="18"/>
                <w:szCs w:val="18"/>
              </w:rPr>
              <w:t>该项目资金用于2021年开展各项退役军人事务与服务保障工作，确保单位各项业务工作的顺利运行，通过该项目的实施，提升退役军人事务工作的服务水平，维护社会稳定。</w:t>
            </w:r>
          </w:p>
        </w:tc>
      </w:tr>
      <w:tr>
        <w:tblPrEx>
          <w:tblLayout w:type="fixed"/>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指标值（包含数字及文字描述）</w:t>
            </w: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走访慰问各类退役军人</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4</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cs="宋体"/>
                <w:color w:val="000000"/>
                <w:sz w:val="18"/>
                <w:szCs w:val="18"/>
              </w:rPr>
            </w:pPr>
            <w:r>
              <w:rPr>
                <w:rFonts w:hint="eastAsia" w:ascii="宋体" w:hAnsi="宋体" w:cs="宋体"/>
                <w:color w:val="000000"/>
                <w:sz w:val="18"/>
                <w:szCs w:val="18"/>
              </w:rPr>
              <w:t>购买办公用品批次（次）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≥3</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聘请辅助人员数（人）</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ind w:firstLine="1080" w:firstLineChars="600"/>
              <w:rPr>
                <w:rFonts w:ascii="宋体" w:hAnsi="宋体" w:cs="宋体"/>
                <w:color w:val="000000"/>
                <w:sz w:val="18"/>
                <w:szCs w:val="18"/>
              </w:rPr>
            </w:pPr>
            <w:r>
              <w:rPr>
                <w:rFonts w:hint="eastAsia" w:ascii="宋体" w:hAnsi="宋体" w:cs="宋体"/>
                <w:color w:val="000000"/>
                <w:sz w:val="18"/>
                <w:szCs w:val="18"/>
              </w:rPr>
              <w:t>资金使用合规率（%）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资金拨付及时率（%）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项目完成时间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2021年12月</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ind w:firstLine="900" w:firstLineChars="500"/>
              <w:rPr>
                <w:rFonts w:ascii="宋体" w:hAnsi="宋体" w:cs="宋体"/>
                <w:color w:val="000000"/>
                <w:sz w:val="18"/>
                <w:szCs w:val="18"/>
              </w:rPr>
            </w:pPr>
            <w:r>
              <w:rPr>
                <w:rFonts w:hint="eastAsia" w:ascii="宋体" w:hAnsi="宋体" w:cs="宋体"/>
                <w:color w:val="000000"/>
                <w:sz w:val="18"/>
                <w:szCs w:val="18"/>
              </w:rPr>
              <w:t>工作经费使用（万元）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辅助人员工资标准（人/月/元）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3600</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提升工作服务水平</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ascii="宋体" w:hAnsi="宋体" w:cs="宋体"/>
                <w:color w:val="000000"/>
                <w:sz w:val="18"/>
                <w:szCs w:val="18"/>
              </w:rPr>
              <w:t>有效提升</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维护社会稳定</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ascii="宋体" w:hAnsi="宋体" w:cs="宋体"/>
                <w:color w:val="000000"/>
                <w:sz w:val="18"/>
                <w:szCs w:val="18"/>
              </w:rPr>
              <w:t>长期</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受益工作人员满意度（%）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≥95%</w:t>
            </w:r>
          </w:p>
        </w:tc>
      </w:tr>
      <w:tr>
        <w:tblPrEx>
          <w:tblLayout w:type="fixed"/>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bl>
    <w:p>
      <w:pPr>
        <w:widowControl/>
        <w:spacing w:line="48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480" w:lineRule="exact"/>
        <w:ind w:firstLine="640" w:firstLineChars="200"/>
        <w:jc w:val="left"/>
        <w:rPr>
          <w:rFonts w:hint="eastAsia" w:ascii="楷体_GB2312" w:hAnsi="宋体" w:eastAsia="楷体_GB2312" w:cs="宋体"/>
          <w:b/>
          <w:kern w:val="0"/>
          <w:sz w:val="32"/>
          <w:szCs w:val="32"/>
        </w:rPr>
      </w:pPr>
      <w:r>
        <w:rPr>
          <w:rFonts w:hint="eastAsia" w:ascii="仿宋_GB2312" w:hAnsi="宋体" w:eastAsia="仿宋_GB2312" w:cs="宋体"/>
          <w:kern w:val="0"/>
          <w:sz w:val="32"/>
          <w:szCs w:val="32"/>
          <w:lang w:eastAsia="zh-CN"/>
        </w:rPr>
        <w:t>克孜勒苏柯尔克孜自治州退役军人事务局无其他说明事项。</w:t>
      </w:r>
    </w:p>
    <w:p>
      <w:pPr>
        <w:widowControl/>
        <w:spacing w:line="520" w:lineRule="exact"/>
        <w:jc w:val="left"/>
        <w:rPr>
          <w:rFonts w:ascii="仿宋_GB2312" w:hAnsi="宋体" w:eastAsia="仿宋_GB2312" w:cs="宋体"/>
          <w:kern w:val="0"/>
          <w:sz w:val="32"/>
          <w:szCs w:val="32"/>
        </w:rPr>
      </w:pP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0" w:firstLineChars="200"/>
        <w:rPr>
          <w:rFonts w:hint="eastAsia" w:ascii="仿宋_GB2312" w:eastAsia="仿宋_GB2312"/>
          <w:sz w:val="32"/>
          <w:szCs w:val="32"/>
        </w:rPr>
      </w:pPr>
      <w:r>
        <w:rPr>
          <w:rFonts w:hint="eastAsia" w:ascii="黑体" w:hAnsi="黑体" w:eastAsia="黑体"/>
          <w:sz w:val="32"/>
          <w:szCs w:val="32"/>
        </w:rPr>
        <w:t>三、其他资金：</w:t>
      </w:r>
      <w:r>
        <w:rPr>
          <w:rFonts w:hint="eastAsia" w:ascii="仿宋_GB2312" w:eastAsia="仿宋_GB2312"/>
          <w:sz w:val="32"/>
          <w:szCs w:val="32"/>
        </w:rPr>
        <w:t>包括事业收入、事业经营收入、其他收入等。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四、基本支出：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hint="eastAsia" w:ascii="黑体" w:hAnsi="黑体" w:eastAsia="黑体"/>
          <w:sz w:val="32"/>
          <w:szCs w:val="32"/>
        </w:rPr>
      </w:pPr>
      <w:r>
        <w:rPr>
          <w:rFonts w:hint="eastAsia" w:ascii="黑体" w:hAnsi="黑体" w:eastAsia="黑体"/>
          <w:sz w:val="32"/>
          <w:szCs w:val="32"/>
        </w:rPr>
        <w:t>五、项目支出：</w:t>
      </w:r>
      <w:r>
        <w:rPr>
          <w:rFonts w:hint="eastAsia" w:ascii="仿宋_GB2312" w:eastAsia="仿宋_GB2312"/>
          <w:sz w:val="32"/>
          <w:szCs w:val="32"/>
        </w:rPr>
        <w:t>部门（单位）支出预算的组成部分，是自治区本级部门（单位）为完成其特定的行政任务或事业发展目标，在基本支出预算之外编制的年度项目支出计划。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六、“三公”经费：</w:t>
      </w:r>
      <w:r>
        <w:rPr>
          <w:rFonts w:hint="eastAsia" w:ascii="仿宋_GB2312" w:eastAsia="仿宋_GB2312"/>
          <w:sz w:val="32"/>
          <w:szCs w:val="32"/>
        </w:rPr>
        <w:t>指自治州本级部门（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p>
    <w:p>
      <w:pPr>
        <w:spacing w:line="520" w:lineRule="exact"/>
        <w:ind w:firstLine="642"/>
        <w:rPr>
          <w:rFonts w:ascii="仿宋_GB2312" w:eastAsia="仿宋_GB2312"/>
          <w:sz w:val="32"/>
          <w:szCs w:val="32"/>
        </w:rPr>
      </w:pPr>
      <w:r>
        <w:rPr>
          <w:rFonts w:hint="eastAsia" w:ascii="黑体" w:hAnsi="黑体" w:eastAsia="黑体"/>
          <w:sz w:val="32"/>
          <w:szCs w:val="32"/>
        </w:rPr>
        <w:t>七、机关运行经费：</w:t>
      </w:r>
      <w:r>
        <w:rPr>
          <w:rFonts w:hint="eastAsia" w:ascii="仿宋_GB2312" w:eastAsia="仿宋_GB2312"/>
          <w:sz w:val="32"/>
          <w:szCs w:val="32"/>
        </w:rPr>
        <w:t>指各部门（单位）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ind w:firstLine="3520" w:firstLineChars="1100"/>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克孜勒苏柯尔克孜自治州退役军人事务局</w:t>
      </w:r>
    </w:p>
    <w:p>
      <w:pPr>
        <w:widowControl/>
        <w:spacing w:line="520" w:lineRule="exact"/>
        <w:ind w:firstLine="5760" w:firstLineChars="18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2021</w:t>
      </w:r>
      <w:r>
        <w:rPr>
          <w:rFonts w:ascii="仿宋_GB2312" w:hAnsi="宋体" w:eastAsia="仿宋_GB2312" w:cs="宋体"/>
          <w:kern w:val="0"/>
          <w:sz w:val="32"/>
          <w:szCs w:val="32"/>
        </w:rPr>
        <w:t>年</w:t>
      </w:r>
      <w:r>
        <w:rPr>
          <w:rFonts w:hint="eastAsia" w:ascii="仿宋_GB2312" w:hAnsi="宋体" w:eastAsia="仿宋_GB2312" w:cs="宋体"/>
          <w:kern w:val="0"/>
          <w:sz w:val="32"/>
          <w:szCs w:val="32"/>
        </w:rPr>
        <w:t>2</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5</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600" w:lineRule="exact"/>
        <w:ind w:left="3150" w:leftChars="1500"/>
        <w:jc w:val="center"/>
        <w:rPr>
          <w:rFonts w:ascii="仿宋_GB2312" w:eastAsia="仿宋_GB2312"/>
          <w:sz w:val="32"/>
          <w:szCs w:val="32"/>
        </w:rPr>
      </w:pPr>
    </w:p>
    <w:sectPr>
      <w:footerReference r:id="rId5" w:type="default"/>
      <w:footerReference r:id="rId6" w:type="even"/>
      <w:pgSz w:w="11906" w:h="16838"/>
      <w:pgMar w:top="2041" w:right="1276" w:bottom="2041" w:left="1276" w:header="851" w:footer="1814" w:gutter="0"/>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Gungsuh">
    <w:panose1 w:val="02030600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S Gothic">
    <w:panose1 w:val="020B0609070205080204"/>
    <w:charset w:val="80"/>
    <w:family w:val="auto"/>
    <w:pitch w:val="default"/>
    <w:sig w:usb0="E00002FF" w:usb1="6AC7FDFB" w:usb2="00000012" w:usb3="00000000" w:csb0="4002009F" w:csb1="DFD70000"/>
  </w:font>
  <w:font w:name="Aharoni">
    <w:panose1 w:val="02010803020104030203"/>
    <w:charset w:val="00"/>
    <w:family w:val="auto"/>
    <w:pitch w:val="default"/>
    <w:sig w:usb0="00000801" w:usb1="00000000" w:usb2="00000000" w:usb3="00000000" w:csb0="00000020" w:csb1="00200000"/>
  </w:font>
  <w:font w:name="Corbel">
    <w:panose1 w:val="020B0503020204020204"/>
    <w:charset w:val="00"/>
    <w:family w:val="auto"/>
    <w:pitch w:val="default"/>
    <w:sig w:usb0="A00002EF" w:usb1="4000A44B" w:usb2="00000000" w:usb3="00000000" w:csb0="2000019F" w:csb1="00000000"/>
  </w:font>
  <w:font w:name="DaunPenh">
    <w:panose1 w:val="01010101010101010101"/>
    <w:charset w:val="00"/>
    <w:family w:val="auto"/>
    <w:pitch w:val="default"/>
    <w:sig w:usb0="00000003" w:usb1="00000000" w:usb2="00010000" w:usb3="00000000" w:csb0="00000001" w:csb1="00000000"/>
  </w:font>
  <w:font w:name="Gabriola">
    <w:panose1 w:val="04040605051002020D02"/>
    <w:charset w:val="00"/>
    <w:family w:val="auto"/>
    <w:pitch w:val="default"/>
    <w:sig w:usb0="E00002EF" w:usb1="50002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sz w:val="2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jc w:val="right"/>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30 -</w:t>
                </w:r>
                <w:r>
                  <w:rPr>
                    <w:rFonts w:ascii="宋体" w:hAnsi="宋体" w:eastAsia="宋体"/>
                    <w:sz w:val="28"/>
                    <w:szCs w:val="28"/>
                  </w:rPr>
                  <w:fldChar w:fldCharType="end"/>
                </w:r>
              </w:p>
            </w:txbxContent>
          </v:textbox>
        </v:shape>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20 -</w:t>
    </w:r>
    <w:r>
      <w:rPr>
        <w:rFonts w:ascii="宋体" w:hAnsi="宋体" w:eastAsia="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jc w:val="right"/>
                  <w:rPr>
                    <w:rStyle w:val="11"/>
                    <w:rFonts w:ascii="宋体" w:hAnsi="宋体" w:eastAsia="宋体"/>
                    <w:sz w:val="28"/>
                  </w:rPr>
                </w:pPr>
                <w:r>
                  <w:rPr>
                    <w:rFonts w:ascii="宋体" w:hAnsi="宋体" w:eastAsia="宋体"/>
                    <w:sz w:val="28"/>
                  </w:rPr>
                  <w:fldChar w:fldCharType="begin"/>
                </w:r>
                <w:r>
                  <w:rPr>
                    <w:rStyle w:val="11"/>
                    <w:rFonts w:ascii="宋体" w:hAnsi="宋体" w:eastAsia="宋体"/>
                    <w:sz w:val="28"/>
                  </w:rPr>
                  <w:instrText xml:space="preserve"> PAGE </w:instrText>
                </w:r>
                <w:r>
                  <w:rPr>
                    <w:rFonts w:ascii="宋体" w:hAnsi="宋体" w:eastAsia="宋体"/>
                    <w:sz w:val="28"/>
                  </w:rPr>
                  <w:fldChar w:fldCharType="separate"/>
                </w:r>
                <w:r>
                  <w:rPr>
                    <w:rStyle w:val="11"/>
                    <w:rFonts w:ascii="宋体" w:hAnsi="宋体" w:eastAsia="宋体"/>
                    <w:sz w:val="28"/>
                  </w:rPr>
                  <w:t>- 32 -</w:t>
                </w:r>
                <w:r>
                  <w:rPr>
                    <w:rFonts w:ascii="宋体" w:hAnsi="宋体" w:eastAsia="宋体"/>
                    <w:sz w:val="2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756" w:y="37"/>
      <w:rPr>
        <w:rStyle w:val="11"/>
        <w:rFonts w:ascii="宋体" w:hAnsi="宋体" w:eastAsia="宋体"/>
        <w:sz w:val="28"/>
        <w:szCs w:val="28"/>
      </w:rPr>
    </w:pPr>
    <w:r>
      <w:rPr>
        <w:rFonts w:ascii="宋体" w:hAnsi="宋体" w:eastAsia="宋体"/>
        <w:sz w:val="28"/>
        <w:szCs w:val="28"/>
      </w:rPr>
      <w:fldChar w:fldCharType="begin"/>
    </w:r>
    <w:r>
      <w:rPr>
        <w:rStyle w:val="11"/>
        <w:rFonts w:ascii="宋体" w:hAnsi="宋体" w:eastAsia="宋体"/>
        <w:sz w:val="28"/>
        <w:szCs w:val="28"/>
      </w:rPr>
      <w:instrText xml:space="preserve">PAGE  </w:instrText>
    </w:r>
    <w:r>
      <w:rPr>
        <w:rFonts w:ascii="宋体" w:hAnsi="宋体" w:eastAsia="宋体"/>
        <w:sz w:val="28"/>
        <w:szCs w:val="28"/>
      </w:rPr>
      <w:fldChar w:fldCharType="separate"/>
    </w:r>
    <w:r>
      <w:rPr>
        <w:rStyle w:val="11"/>
        <w:rFonts w:ascii="宋体" w:hAnsi="宋体" w:eastAsia="宋体"/>
        <w:sz w:val="28"/>
        <w:szCs w:val="28"/>
      </w:rPr>
      <w:t>- 34 -</w:t>
    </w:r>
    <w:r>
      <w:rPr>
        <w:rFonts w:ascii="宋体" w:hAnsi="宋体" w:eastAsia="宋体"/>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C05BF"/>
    <w:rsid w:val="0009522A"/>
    <w:rsid w:val="000C7921"/>
    <w:rsid w:val="00111D24"/>
    <w:rsid w:val="00121764"/>
    <w:rsid w:val="001410DA"/>
    <w:rsid w:val="001662FE"/>
    <w:rsid w:val="00172C01"/>
    <w:rsid w:val="00184756"/>
    <w:rsid w:val="00186398"/>
    <w:rsid w:val="001912FE"/>
    <w:rsid w:val="001D3009"/>
    <w:rsid w:val="002166BA"/>
    <w:rsid w:val="002C1852"/>
    <w:rsid w:val="00324290"/>
    <w:rsid w:val="0035786A"/>
    <w:rsid w:val="00363AA6"/>
    <w:rsid w:val="00396814"/>
    <w:rsid w:val="003B4B5F"/>
    <w:rsid w:val="003C61E3"/>
    <w:rsid w:val="00430CF3"/>
    <w:rsid w:val="00432267"/>
    <w:rsid w:val="00493EEC"/>
    <w:rsid w:val="004B5A44"/>
    <w:rsid w:val="004D2619"/>
    <w:rsid w:val="004F62F9"/>
    <w:rsid w:val="00520D5A"/>
    <w:rsid w:val="00542F62"/>
    <w:rsid w:val="00603CBD"/>
    <w:rsid w:val="006323AA"/>
    <w:rsid w:val="00666F16"/>
    <w:rsid w:val="006B6A8C"/>
    <w:rsid w:val="006D5EAD"/>
    <w:rsid w:val="006F291A"/>
    <w:rsid w:val="007219F8"/>
    <w:rsid w:val="0072732C"/>
    <w:rsid w:val="007E2CEA"/>
    <w:rsid w:val="008A07E5"/>
    <w:rsid w:val="008E5D74"/>
    <w:rsid w:val="009035BA"/>
    <w:rsid w:val="00907796"/>
    <w:rsid w:val="0096028F"/>
    <w:rsid w:val="009670BC"/>
    <w:rsid w:val="0099744C"/>
    <w:rsid w:val="009C6198"/>
    <w:rsid w:val="00A1387C"/>
    <w:rsid w:val="00A553DA"/>
    <w:rsid w:val="00A9706D"/>
    <w:rsid w:val="00AD59E3"/>
    <w:rsid w:val="00AD7940"/>
    <w:rsid w:val="00B127E0"/>
    <w:rsid w:val="00B52192"/>
    <w:rsid w:val="00B570D9"/>
    <w:rsid w:val="00BA39ED"/>
    <w:rsid w:val="00BA582F"/>
    <w:rsid w:val="00C117E5"/>
    <w:rsid w:val="00CA4E1E"/>
    <w:rsid w:val="00D153E9"/>
    <w:rsid w:val="00DC05BF"/>
    <w:rsid w:val="00DD2721"/>
    <w:rsid w:val="00DF4E25"/>
    <w:rsid w:val="00E7192E"/>
    <w:rsid w:val="00E72E1E"/>
    <w:rsid w:val="00F23808"/>
    <w:rsid w:val="00F54FE8"/>
    <w:rsid w:val="00F830A1"/>
    <w:rsid w:val="00F83503"/>
    <w:rsid w:val="00F90952"/>
    <w:rsid w:val="00FD3014"/>
    <w:rsid w:val="00FD4A86"/>
    <w:rsid w:val="016B5CF0"/>
    <w:rsid w:val="022C4486"/>
    <w:rsid w:val="02AC2253"/>
    <w:rsid w:val="04467970"/>
    <w:rsid w:val="04835FA2"/>
    <w:rsid w:val="0538194B"/>
    <w:rsid w:val="053F3C2D"/>
    <w:rsid w:val="05AB0EE4"/>
    <w:rsid w:val="069D569E"/>
    <w:rsid w:val="078D5BA4"/>
    <w:rsid w:val="095C36F4"/>
    <w:rsid w:val="095D5A49"/>
    <w:rsid w:val="098853D8"/>
    <w:rsid w:val="0C207A15"/>
    <w:rsid w:val="0E912169"/>
    <w:rsid w:val="0FD87F72"/>
    <w:rsid w:val="102828B0"/>
    <w:rsid w:val="142339BF"/>
    <w:rsid w:val="147D4BE8"/>
    <w:rsid w:val="15240B15"/>
    <w:rsid w:val="155F74A1"/>
    <w:rsid w:val="15724228"/>
    <w:rsid w:val="16E23E9C"/>
    <w:rsid w:val="170F7E5B"/>
    <w:rsid w:val="17602287"/>
    <w:rsid w:val="180C6775"/>
    <w:rsid w:val="183C39BB"/>
    <w:rsid w:val="19250880"/>
    <w:rsid w:val="1A57603F"/>
    <w:rsid w:val="1ADB67D3"/>
    <w:rsid w:val="1BC36DB2"/>
    <w:rsid w:val="1D693715"/>
    <w:rsid w:val="1DCF6F86"/>
    <w:rsid w:val="1E6C3D79"/>
    <w:rsid w:val="1EEF7B17"/>
    <w:rsid w:val="1FCB4002"/>
    <w:rsid w:val="1FE83E5F"/>
    <w:rsid w:val="212C2F19"/>
    <w:rsid w:val="212F1D8D"/>
    <w:rsid w:val="220670FE"/>
    <w:rsid w:val="22327FFA"/>
    <w:rsid w:val="22543105"/>
    <w:rsid w:val="22E0557F"/>
    <w:rsid w:val="22F43CF9"/>
    <w:rsid w:val="243C508D"/>
    <w:rsid w:val="24DE573D"/>
    <w:rsid w:val="254D1709"/>
    <w:rsid w:val="256D2C52"/>
    <w:rsid w:val="266942D3"/>
    <w:rsid w:val="267967FC"/>
    <w:rsid w:val="273E425A"/>
    <w:rsid w:val="27B27DE4"/>
    <w:rsid w:val="28EB6C21"/>
    <w:rsid w:val="28F53547"/>
    <w:rsid w:val="290C01E5"/>
    <w:rsid w:val="29365E68"/>
    <w:rsid w:val="2B5E40C7"/>
    <w:rsid w:val="2DAC5845"/>
    <w:rsid w:val="2DF07F43"/>
    <w:rsid w:val="2E3549E9"/>
    <w:rsid w:val="2EBB25E6"/>
    <w:rsid w:val="2ECF727A"/>
    <w:rsid w:val="2FD13760"/>
    <w:rsid w:val="304D114D"/>
    <w:rsid w:val="316E7924"/>
    <w:rsid w:val="326B1824"/>
    <w:rsid w:val="329A6511"/>
    <w:rsid w:val="32CC0898"/>
    <w:rsid w:val="33A41522"/>
    <w:rsid w:val="3561136B"/>
    <w:rsid w:val="36827776"/>
    <w:rsid w:val="37BE62C0"/>
    <w:rsid w:val="380A72D2"/>
    <w:rsid w:val="38A02D37"/>
    <w:rsid w:val="3A3C091B"/>
    <w:rsid w:val="3ADD7DCD"/>
    <w:rsid w:val="3B1868AD"/>
    <w:rsid w:val="3B5B19AF"/>
    <w:rsid w:val="3C865769"/>
    <w:rsid w:val="3D2E7DCA"/>
    <w:rsid w:val="3D4245A0"/>
    <w:rsid w:val="3E8843CF"/>
    <w:rsid w:val="40882C21"/>
    <w:rsid w:val="41633CD4"/>
    <w:rsid w:val="416B49AC"/>
    <w:rsid w:val="417D0373"/>
    <w:rsid w:val="420875E6"/>
    <w:rsid w:val="42670744"/>
    <w:rsid w:val="42DF2EDA"/>
    <w:rsid w:val="43515E8F"/>
    <w:rsid w:val="43C9550D"/>
    <w:rsid w:val="44CE6092"/>
    <w:rsid w:val="45A07058"/>
    <w:rsid w:val="45E243A0"/>
    <w:rsid w:val="47225D8D"/>
    <w:rsid w:val="47592B15"/>
    <w:rsid w:val="47716E3F"/>
    <w:rsid w:val="49012F7D"/>
    <w:rsid w:val="49B02EAA"/>
    <w:rsid w:val="4B0F593E"/>
    <w:rsid w:val="4B4E7E0B"/>
    <w:rsid w:val="4BA516E8"/>
    <w:rsid w:val="4EE514F8"/>
    <w:rsid w:val="4FA36D41"/>
    <w:rsid w:val="504A52D4"/>
    <w:rsid w:val="50B50343"/>
    <w:rsid w:val="50C04626"/>
    <w:rsid w:val="51361E16"/>
    <w:rsid w:val="519111EA"/>
    <w:rsid w:val="51C2158D"/>
    <w:rsid w:val="523B1C97"/>
    <w:rsid w:val="529B200F"/>
    <w:rsid w:val="52CE003B"/>
    <w:rsid w:val="537C2FFA"/>
    <w:rsid w:val="53F41940"/>
    <w:rsid w:val="53F712F8"/>
    <w:rsid w:val="546B488A"/>
    <w:rsid w:val="57A00B0B"/>
    <w:rsid w:val="5B782976"/>
    <w:rsid w:val="5BD31F44"/>
    <w:rsid w:val="5CFF7FA7"/>
    <w:rsid w:val="5EA333A5"/>
    <w:rsid w:val="5EBD0041"/>
    <w:rsid w:val="5FD12058"/>
    <w:rsid w:val="60920900"/>
    <w:rsid w:val="61272718"/>
    <w:rsid w:val="612D7388"/>
    <w:rsid w:val="62AF7BF3"/>
    <w:rsid w:val="62F83800"/>
    <w:rsid w:val="631B21C8"/>
    <w:rsid w:val="6343261C"/>
    <w:rsid w:val="63CF07E8"/>
    <w:rsid w:val="64C34401"/>
    <w:rsid w:val="64C638C1"/>
    <w:rsid w:val="650E3B4F"/>
    <w:rsid w:val="65AA653B"/>
    <w:rsid w:val="671F4403"/>
    <w:rsid w:val="69F215D8"/>
    <w:rsid w:val="6B2B0774"/>
    <w:rsid w:val="6C2F5866"/>
    <w:rsid w:val="6C6B0C2B"/>
    <w:rsid w:val="6CA45084"/>
    <w:rsid w:val="6D2F2251"/>
    <w:rsid w:val="6D3F7383"/>
    <w:rsid w:val="6E360C8A"/>
    <w:rsid w:val="6E996138"/>
    <w:rsid w:val="70371235"/>
    <w:rsid w:val="71026DAF"/>
    <w:rsid w:val="71D06340"/>
    <w:rsid w:val="72397B36"/>
    <w:rsid w:val="74232F63"/>
    <w:rsid w:val="74960001"/>
    <w:rsid w:val="749C0E2E"/>
    <w:rsid w:val="74C00F6E"/>
    <w:rsid w:val="74EC3766"/>
    <w:rsid w:val="75C21553"/>
    <w:rsid w:val="76BD36DE"/>
    <w:rsid w:val="77C358C0"/>
    <w:rsid w:val="789F4894"/>
    <w:rsid w:val="78BF3784"/>
    <w:rsid w:val="794D624F"/>
    <w:rsid w:val="79C7554A"/>
    <w:rsid w:val="79D86B2C"/>
    <w:rsid w:val="79E42B37"/>
    <w:rsid w:val="7B54775A"/>
    <w:rsid w:val="7DCE46D4"/>
    <w:rsid w:val="7F1F18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qFormat/>
    <w:uiPriority w:val="0"/>
    <w:rPr>
      <w:rFonts w:asciiTheme="minorHAnsi" w:hAnsiTheme="minorHAnsi" w:eastAsiaTheme="minorEastAsia" w:cstheme="minorBidi"/>
      <w:sz w:val="18"/>
      <w:szCs w:val="18"/>
    </w:rPr>
  </w:style>
  <w:style w:type="paragraph" w:styleId="3">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Body Text Indent 3"/>
    <w:basedOn w:val="1"/>
    <w:link w:val="15"/>
    <w:qFormat/>
    <w:uiPriority w:val="0"/>
    <w:pPr>
      <w:pBdr>
        <w:top w:val="single" w:color="auto" w:sz="12" w:space="1"/>
        <w:bottom w:val="single" w:color="auto" w:sz="12" w:space="1"/>
      </w:pBdr>
      <w:spacing w:line="600" w:lineRule="exact"/>
      <w:ind w:left="1280" w:hanging="1280" w:hangingChars="400"/>
    </w:pPr>
    <w:rPr>
      <w:rFonts w:eastAsia="仿宋_GB2312" w:asciiTheme="minorHAnsi" w:hAnsiTheme="minorHAnsi" w:cstheme="minorBidi"/>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Char"/>
    <w:basedOn w:val="9"/>
    <w:link w:val="4"/>
    <w:qFormat/>
    <w:uiPriority w:val="0"/>
    <w:rPr>
      <w:sz w:val="18"/>
      <w:szCs w:val="18"/>
    </w:rPr>
  </w:style>
  <w:style w:type="character" w:customStyle="1" w:styleId="13">
    <w:name w:val="页脚 Char"/>
    <w:basedOn w:val="9"/>
    <w:link w:val="3"/>
    <w:qFormat/>
    <w:uiPriority w:val="99"/>
    <w:rPr>
      <w:sz w:val="18"/>
      <w:szCs w:val="18"/>
    </w:rPr>
  </w:style>
  <w:style w:type="character" w:customStyle="1" w:styleId="14">
    <w:name w:val="批注框文本 Char"/>
    <w:link w:val="2"/>
    <w:semiHidden/>
    <w:qFormat/>
    <w:uiPriority w:val="0"/>
    <w:rPr>
      <w:sz w:val="18"/>
      <w:szCs w:val="18"/>
    </w:rPr>
  </w:style>
  <w:style w:type="character" w:customStyle="1" w:styleId="15">
    <w:name w:val="正文文本缩进 3 Char"/>
    <w:link w:val="5"/>
    <w:qFormat/>
    <w:uiPriority w:val="0"/>
    <w:rPr>
      <w:rFonts w:eastAsia="仿宋_GB2312"/>
      <w:sz w:val="32"/>
      <w:szCs w:val="24"/>
    </w:rPr>
  </w:style>
  <w:style w:type="paragraph" w:customStyle="1" w:styleId="16">
    <w:name w:val="普通(网站)2"/>
    <w:basedOn w:val="1"/>
    <w:qFormat/>
    <w:uiPriority w:val="0"/>
    <w:rPr>
      <w:rFonts w:ascii="Calibri" w:hAnsi="Calibri" w:cs="黑体"/>
      <w:sz w:val="24"/>
    </w:rPr>
  </w:style>
  <w:style w:type="character" w:customStyle="1" w:styleId="17">
    <w:name w:val="正文文本缩进 3 字符1"/>
    <w:basedOn w:val="9"/>
    <w:semiHidden/>
    <w:qFormat/>
    <w:uiPriority w:val="99"/>
    <w:rPr>
      <w:rFonts w:ascii="Times New Roman" w:hAnsi="Times New Roman" w:eastAsia="宋体" w:cs="Times New Roman"/>
      <w:sz w:val="16"/>
      <w:szCs w:val="16"/>
    </w:rPr>
  </w:style>
  <w:style w:type="paragraph" w:styleId="18">
    <w:name w:val="List Paragraph"/>
    <w:basedOn w:val="1"/>
    <w:qFormat/>
    <w:uiPriority w:val="34"/>
    <w:pPr>
      <w:ind w:firstLine="420" w:firstLineChars="200"/>
    </w:pPr>
    <w:rPr>
      <w:rFonts w:ascii="Calibri" w:hAnsi="Calibri"/>
      <w:szCs w:val="22"/>
    </w:rPr>
  </w:style>
  <w:style w:type="paragraph" w:customStyle="1" w:styleId="19">
    <w:name w:val="普通(网站)3"/>
    <w:basedOn w:val="1"/>
    <w:qFormat/>
    <w:uiPriority w:val="0"/>
    <w:rPr>
      <w:rFonts w:ascii="Calibri" w:hAnsi="Calibri" w:cs="黑体"/>
      <w:sz w:val="24"/>
    </w:rPr>
  </w:style>
  <w:style w:type="character" w:customStyle="1" w:styleId="20">
    <w:name w:val="批注框文本 字符1"/>
    <w:basedOn w:val="9"/>
    <w:semiHidden/>
    <w:qFormat/>
    <w:uiPriority w:val="99"/>
    <w:rPr>
      <w:rFonts w:ascii="Times New Roman" w:hAnsi="Times New Roman" w:eastAsia="宋体" w:cs="Times New Roman"/>
      <w:sz w:val="18"/>
      <w:szCs w:val="18"/>
    </w:rPr>
  </w:style>
  <w:style w:type="paragraph" w:customStyle="1" w:styleId="21">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2">
    <w:name w:val="普通(网站)1"/>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1690</Words>
  <Characters>9634</Characters>
  <Lines>80</Lines>
  <Paragraphs>22</Paragraphs>
  <TotalTime>6</TotalTime>
  <ScaleCrop>false</ScaleCrop>
  <LinksUpToDate>false</LinksUpToDate>
  <CharactersWithSpaces>11302</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2021-01-27T08:28:00Z</dcterms:created>
  <dc:creator>薛理升</dc:creator>
  <cp:lastModifiedBy>Administrator</cp:lastModifiedBy>
  <cp:lastPrinted>2021-08-18T09:51:00Z</cp:lastPrinted>
  <dcterms:modified xsi:type="dcterms:W3CDTF">2023-05-22T10:12:01Z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