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信访局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一、部门（单位）收支总体情况表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二、部门（单位）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1.贯彻落实中央、自治区、自治州党委、政府及上级主管部门（单位）关于信访工作的方针、政策和法规，指导自治州信访工作。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2.根据自治区有关信访工作的方针、政策和法规，结合自治州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信访工作实际,研究制定贯彻、宣传、落实的措施、办法并组织实施。深入各县(市)、乡(镇)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调查研究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,总结推广好的做法、经验,提出改进和加强信访工作的意见和建议。代表自治州党委、人民政府受理人民群众给自治州党委、人民政府及其主要领导人的来信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为来信来访群众提供有关法律、法规和政策咨询服务,向自治州党委、人民政府反映来信来访提出的重要建议、意见和问题。负责“州长信箱”的日常受理、处理、査办工作。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综合分析研判信访形势,开展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调查</w:t>
      </w:r>
      <w:bookmarkStart w:id="0" w:name="_GoBack"/>
      <w:bookmarkEnd w:id="0"/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研究,征集群众建议,及时向自治州党委、政府提供信访信息。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承办上级领导机关、自治州党委和自治州人民政府领导交办的信访事项,督促检查领导批示件落实情况;向有关单位交办信访事项;督促、检査和反馈重要信访事项的处理和落实情况。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协调处理跨县(市)、跨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部门（单位）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信访事项、群众集体上访和突发上访事件;检查、协调指导自治州党、政、军各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部门（单位）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的信访工作和各县(市)机关的信访工作。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宣传和贯彻落实《信访条例》;了解掌握信访工作队伍建设情况,组织信访干部的培训,加强指导信访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部门（单位）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信息化建设。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完成自治州党委、自治州人民政府交办的其他任务。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办公室、督查科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，实有人数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部门（单位）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227.98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227.98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227.98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360" w:firstLineChars="20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678.73 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227.98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227.98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tabs>
          <w:tab w:val="left" w:pos="4200"/>
        </w:tabs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11134" w:type="dxa"/>
        <w:tblInd w:w="-1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069"/>
        <w:gridCol w:w="573"/>
        <w:gridCol w:w="821"/>
        <w:gridCol w:w="680"/>
        <w:gridCol w:w="680"/>
        <w:gridCol w:w="858"/>
        <w:gridCol w:w="709"/>
        <w:gridCol w:w="567"/>
        <w:gridCol w:w="425"/>
        <w:gridCol w:w="567"/>
        <w:gridCol w:w="709"/>
        <w:gridCol w:w="851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0</w:t>
            </w:r>
            <w:r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0</w:t>
            </w:r>
            <w:r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eastAsia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  <w:lang w:eastAsia="zh-CN"/>
              </w:rPr>
              <w:t>信访事务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217.23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217.23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0</w:t>
            </w:r>
            <w:r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  <w:lang w:eastAsia="zh-CN"/>
              </w:rPr>
              <w:t>专项服务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  <w:t>10.75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  <w:t>10.75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left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left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left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  <w:t>227.98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  <w:lang w:val="en-US" w:eastAsia="zh-CN"/>
              </w:rPr>
              <w:t>227.98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24"/>
        </w:rPr>
        <w:t xml:space="preserve">：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08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信访事务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217.23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217.23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专项服务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10.75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10.75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227.98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217.23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10.75</w:t>
            </w: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单位：万元</w:t>
      </w:r>
    </w:p>
    <w:tbl>
      <w:tblPr>
        <w:tblStyle w:val="7"/>
        <w:tblW w:w="1012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084"/>
        <w:gridCol w:w="2580"/>
        <w:gridCol w:w="1155"/>
        <w:gridCol w:w="1276"/>
        <w:gridCol w:w="1276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227.98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227.98</w:t>
            </w: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227.98</w:t>
            </w: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227.98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227.98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227.98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227.98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9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441"/>
        <w:gridCol w:w="492"/>
        <w:gridCol w:w="417"/>
        <w:gridCol w:w="161"/>
        <w:gridCol w:w="913"/>
        <w:gridCol w:w="1436"/>
        <w:gridCol w:w="561"/>
        <w:gridCol w:w="99"/>
        <w:gridCol w:w="1024"/>
        <w:gridCol w:w="3"/>
        <w:gridCol w:w="213"/>
        <w:gridCol w:w="1604"/>
        <w:gridCol w:w="22"/>
        <w:gridCol w:w="1551"/>
        <w:gridCol w:w="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克州信访局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7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800" w:firstLineChars="400"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信访事务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217.23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217.23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专项服务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10.75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227.98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217.23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487" w:hRule="atLeast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  <w:t>表六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714" w:hRule="atLeast"/>
        </w:trPr>
        <w:tc>
          <w:tcPr>
            <w:tcW w:w="89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65" w:hRule="atLeast"/>
        </w:trPr>
        <w:tc>
          <w:tcPr>
            <w:tcW w:w="4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克州信访局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619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1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443" w:hRule="atLeast"/>
        </w:trPr>
        <w:tc>
          <w:tcPr>
            <w:tcW w:w="15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78" w:hRule="atLeast"/>
        </w:trPr>
        <w:tc>
          <w:tcPr>
            <w:tcW w:w="15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77.66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77.66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558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20.51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20.51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4.29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9.16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9.16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14.72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14.72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30242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30202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30202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30242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13.94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13.94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26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49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26" w:type="dxa"/>
          <w:trHeight w:val="349" w:hRule="atLeast"/>
        </w:trPr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217.23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206.15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11.07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32" w:type="dxa"/>
        <w:tblInd w:w="-3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1"/>
        <w:gridCol w:w="397"/>
        <w:gridCol w:w="397"/>
        <w:gridCol w:w="851"/>
        <w:gridCol w:w="1456"/>
        <w:gridCol w:w="860"/>
        <w:gridCol w:w="459"/>
        <w:gridCol w:w="947"/>
        <w:gridCol w:w="330"/>
        <w:gridCol w:w="563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克州信访局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8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201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03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04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专项服务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信访业务相关经费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10.75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10.75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10.75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both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10.75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</w:t>
      </w:r>
    </w:p>
    <w:tbl>
      <w:tblPr>
        <w:tblStyle w:val="7"/>
        <w:tblW w:w="8989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7"/>
        <w:tblW w:w="910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4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4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2021年克州信访局无政府性基金预算支出，本表为空表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227.98万元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227.98万元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2名领导干部、基本工资增长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国有资本经营预算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217.23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2名领导干部、基本工资增长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4.72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延续项目无调整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和国有资本经营预算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收入预算包括：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一般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公共预算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支出包括：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服务支出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227.98万元，主要用于人员工资、单位正常运转及项目支出。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，其中：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217.23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15.24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调入了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2名领导干部、基本工资增长。项目支出10.75万元，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延续项目无调整。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1.一般公共服务（类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227.98万元，占100%。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一般公共服务（类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行政运行（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款：03</w:t>
      </w:r>
      <w:r>
        <w:rPr>
          <w:rFonts w:hint="eastAsia" w:ascii="仿宋_GB2312" w:eastAsia="仿宋_GB2312"/>
          <w:sz w:val="32"/>
          <w:szCs w:val="32"/>
          <w:lang w:eastAsia="zh-CN"/>
        </w:rPr>
        <w:t>）信访事务（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项：08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217.23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" w:eastAsia="zh-CN"/>
        </w:rPr>
        <w:t>9.05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2名领导干部、基本工资增长。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03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专项服务</w:t>
      </w:r>
      <w:r>
        <w:rPr>
          <w:rFonts w:ascii="仿宋_GB2312" w:hAnsi="宋体" w:eastAsia="仿宋_GB2312" w:cs="宋体"/>
          <w:kern w:val="0"/>
          <w:sz w:val="32"/>
          <w:szCs w:val="32"/>
        </w:rPr>
        <w:t>（项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04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10.75</w:t>
      </w:r>
      <w:r>
        <w:rPr>
          <w:rFonts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，比上年预算增加10.75万元，增长100%。主要原因是：上年该专项经费放到主款项里，没有单独分离出来。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217.23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206.15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77.66万元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9.16万元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20.51万元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13.94万元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6.26万元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、会议费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用品及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信访业务相关经费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州委统一安排（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延续项目）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10.75万元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克孜勒苏柯尔克孜自治州信访局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办信接访业务正常运转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2021年全年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资金来源：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财政拨款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；公务用车购置费为0，未安排预算；公务用车运行费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按照三公经费只减不增的原则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按照三公经费只减不增的原则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克孜勒苏柯尔克孜自治州信访局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家行政单位和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11.07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万元，增长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13.89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2名干部、因此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人员经费、福利费、工会费增加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16.3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万元，其中：政府采购货物预算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16.3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万元，政府采购工程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</w:rPr>
        <w:t>年度本</w:t>
      </w:r>
      <w:r>
        <w:rPr>
          <w:rFonts w:hint="eastAsia" w:ascii="仿宋_GB2312" w:hAnsi="仿宋_GB2312" w:eastAsia="仿宋_GB2312"/>
          <w:sz w:val="32"/>
          <w:lang w:eastAsia="zh-CN"/>
        </w:rPr>
        <w:t>部门（单位）</w:t>
      </w:r>
      <w:r>
        <w:rPr>
          <w:rFonts w:hint="eastAsia" w:ascii="仿宋_GB2312" w:hAnsi="仿宋_GB2312" w:eastAsia="仿宋_GB2312"/>
          <w:sz w:val="32"/>
        </w:rPr>
        <w:t>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万元，其中：面向小微企业预留政府采购项目预算金额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771"/>
        <w:gridCol w:w="2436"/>
        <w:gridCol w:w="3848"/>
        <w:gridCol w:w="1480"/>
        <w:gridCol w:w="1520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部门（单位）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信访业务相关经费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8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年度资金总额：10.75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其中：财政拨款：10.75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3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项目资金用于自治州信访工作联席会议和案件协调会费用，信访工作综合协调指导工作和信访事项联合督查的差旅费、公务用车维护费，自治区、自治州信访基础业务培训费，购置确保自治州信访工作正常运转所需的办公用品及耗材费。通过该项目提升公共服务能力，畅通信访渠道，规范信访秩序，引导群众形成文明、依法、有序的信访秩序，便民利民，降低群众信访成本，切实将矛盾化解在基层、人员稳定在当地，做到“三不出”“零控制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信访业务培训（次）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召开信访联席会议和案件协调会、信访事项联合督查（次）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购买办公用品级耗材次数（次）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信访事项及时受利率（%）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信访事项按期办结率（%）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信访群众参评率（%）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完成信访业务工作及时率（%）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工作经费（万元）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提升公共服务能力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便民利民，降低群众信访成本 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before="156" w:beforeLines="50" w:line="520" w:lineRule="exact"/>
        <w:ind w:firstLine="960" w:firstLineChars="300"/>
        <w:jc w:val="both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克州信访局无其他需说明的事项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</w:t>
      </w:r>
      <w:r>
        <w:rPr>
          <w:rFonts w:hint="eastAsia" w:ascii="仿宋_GB2312" w:eastAsia="仿宋_GB2312"/>
          <w:sz w:val="32"/>
          <w:szCs w:val="32"/>
          <w:lang w:eastAsia="zh-CN"/>
        </w:rPr>
        <w:t>、国有资本经营预算</w:t>
      </w:r>
      <w:r>
        <w:rPr>
          <w:rFonts w:hint="eastAsia" w:ascii="仿宋_GB2312" w:eastAsia="仿宋_GB2312"/>
          <w:sz w:val="32"/>
          <w:szCs w:val="32"/>
        </w:rPr>
        <w:t>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  <w:lang w:eastAsia="zh-CN"/>
        </w:rPr>
        <w:t>部门（单位）</w:t>
      </w:r>
      <w:r>
        <w:rPr>
          <w:rFonts w:hint="eastAsia" w:ascii="仿宋_GB2312" w:eastAsia="仿宋_GB2312"/>
          <w:sz w:val="32"/>
          <w:szCs w:val="32"/>
        </w:rPr>
        <w:t>支出预算的组成部分，是自治州本级</w:t>
      </w:r>
      <w:r>
        <w:rPr>
          <w:rFonts w:hint="eastAsia" w:ascii="仿宋_GB2312" w:eastAsia="仿宋_GB2312"/>
          <w:sz w:val="32"/>
          <w:szCs w:val="32"/>
          <w:lang w:eastAsia="zh-CN"/>
        </w:rPr>
        <w:t>部门（单位）</w:t>
      </w:r>
      <w:r>
        <w:rPr>
          <w:rFonts w:hint="eastAsia" w:ascii="仿宋_GB2312" w:eastAsia="仿宋_GB2312"/>
          <w:sz w:val="32"/>
          <w:szCs w:val="32"/>
        </w:rPr>
        <w:t>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指自治州本级</w:t>
      </w:r>
      <w:r>
        <w:rPr>
          <w:rFonts w:hint="eastAsia" w:ascii="仿宋_GB2312" w:eastAsia="仿宋_GB2312"/>
          <w:sz w:val="32"/>
          <w:szCs w:val="32"/>
          <w:lang w:eastAsia="zh-CN"/>
        </w:rPr>
        <w:t>部门（单位）</w:t>
      </w:r>
      <w:r>
        <w:rPr>
          <w:rFonts w:hint="eastAsia" w:ascii="仿宋_GB2312" w:eastAsia="仿宋_GB2312"/>
          <w:sz w:val="32"/>
          <w:szCs w:val="32"/>
        </w:rPr>
        <w:t>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</w:t>
      </w:r>
      <w:r>
        <w:rPr>
          <w:rFonts w:hint="eastAsia" w:ascii="仿宋_GB2312" w:eastAsia="仿宋_GB2312"/>
          <w:sz w:val="32"/>
          <w:szCs w:val="32"/>
          <w:lang w:eastAsia="zh-CN"/>
        </w:rPr>
        <w:t>部门（单位）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克孜勒苏柯尔克孜自治州信访局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4647BC"/>
    <w:rsid w:val="026A2761"/>
    <w:rsid w:val="055E569A"/>
    <w:rsid w:val="068F39D1"/>
    <w:rsid w:val="0BB65820"/>
    <w:rsid w:val="0EFF897A"/>
    <w:rsid w:val="12DB0936"/>
    <w:rsid w:val="136931FC"/>
    <w:rsid w:val="14BA0F56"/>
    <w:rsid w:val="16BE249E"/>
    <w:rsid w:val="17DFC8F9"/>
    <w:rsid w:val="1B573EAD"/>
    <w:rsid w:val="1BA96546"/>
    <w:rsid w:val="1CEF7D37"/>
    <w:rsid w:val="1F9BC681"/>
    <w:rsid w:val="215B4474"/>
    <w:rsid w:val="23FF7D7D"/>
    <w:rsid w:val="27973F7C"/>
    <w:rsid w:val="27ABADA1"/>
    <w:rsid w:val="27EF4238"/>
    <w:rsid w:val="29568A45"/>
    <w:rsid w:val="2DB7D8AA"/>
    <w:rsid w:val="2DFF13D2"/>
    <w:rsid w:val="2EDBA4C0"/>
    <w:rsid w:val="2F9638B6"/>
    <w:rsid w:val="30171DA3"/>
    <w:rsid w:val="333622C1"/>
    <w:rsid w:val="336E3F2E"/>
    <w:rsid w:val="33BD037C"/>
    <w:rsid w:val="340A0961"/>
    <w:rsid w:val="34DF7BCC"/>
    <w:rsid w:val="3AEE319A"/>
    <w:rsid w:val="3B9911EF"/>
    <w:rsid w:val="3BF34DC1"/>
    <w:rsid w:val="3CE98617"/>
    <w:rsid w:val="3E774107"/>
    <w:rsid w:val="3FBFF2E6"/>
    <w:rsid w:val="3FED8A63"/>
    <w:rsid w:val="476BDD52"/>
    <w:rsid w:val="48387FB4"/>
    <w:rsid w:val="48F60FD9"/>
    <w:rsid w:val="4DD31B96"/>
    <w:rsid w:val="4EF6020A"/>
    <w:rsid w:val="4F5FD9DB"/>
    <w:rsid w:val="4FF4BA58"/>
    <w:rsid w:val="54C26209"/>
    <w:rsid w:val="566395C8"/>
    <w:rsid w:val="570D0F4F"/>
    <w:rsid w:val="5CED54A6"/>
    <w:rsid w:val="5CF9A388"/>
    <w:rsid w:val="5D8D46AF"/>
    <w:rsid w:val="5DBDBB9A"/>
    <w:rsid w:val="5DEF9150"/>
    <w:rsid w:val="5DFF2A74"/>
    <w:rsid w:val="5EDA846B"/>
    <w:rsid w:val="5F4050C9"/>
    <w:rsid w:val="5FB6B7F2"/>
    <w:rsid w:val="60132871"/>
    <w:rsid w:val="60706A55"/>
    <w:rsid w:val="611F446E"/>
    <w:rsid w:val="61A61F06"/>
    <w:rsid w:val="64F9006D"/>
    <w:rsid w:val="65F72969"/>
    <w:rsid w:val="66E63E90"/>
    <w:rsid w:val="677D6642"/>
    <w:rsid w:val="6E307E9C"/>
    <w:rsid w:val="6E64673A"/>
    <w:rsid w:val="6EA44B55"/>
    <w:rsid w:val="6F3D752A"/>
    <w:rsid w:val="6FF9349F"/>
    <w:rsid w:val="723EC7B3"/>
    <w:rsid w:val="727E34BD"/>
    <w:rsid w:val="77DF7A49"/>
    <w:rsid w:val="786A6779"/>
    <w:rsid w:val="791241EF"/>
    <w:rsid w:val="797BCECF"/>
    <w:rsid w:val="79FD2895"/>
    <w:rsid w:val="7B875174"/>
    <w:rsid w:val="7B9F7271"/>
    <w:rsid w:val="7BBBC271"/>
    <w:rsid w:val="7BED11C7"/>
    <w:rsid w:val="7BFE3711"/>
    <w:rsid w:val="7CEF3A3E"/>
    <w:rsid w:val="7DFF4F5B"/>
    <w:rsid w:val="7EDB26EF"/>
    <w:rsid w:val="7EFAE3E3"/>
    <w:rsid w:val="7EFF0B28"/>
    <w:rsid w:val="7F5BE98E"/>
    <w:rsid w:val="7F7F3402"/>
    <w:rsid w:val="7F7F3E84"/>
    <w:rsid w:val="7FBDE071"/>
    <w:rsid w:val="7FD3A66E"/>
    <w:rsid w:val="7FDD0D9C"/>
    <w:rsid w:val="7FED18F5"/>
    <w:rsid w:val="9CBB39A4"/>
    <w:rsid w:val="9FFD049C"/>
    <w:rsid w:val="AF70291D"/>
    <w:rsid w:val="AFB376E3"/>
    <w:rsid w:val="B3DFF12E"/>
    <w:rsid w:val="B76D31C2"/>
    <w:rsid w:val="B7D9019E"/>
    <w:rsid w:val="BA7B23C6"/>
    <w:rsid w:val="BD5F5C7B"/>
    <w:rsid w:val="BDD7C82B"/>
    <w:rsid w:val="BDFF978C"/>
    <w:rsid w:val="BF5E4EFA"/>
    <w:rsid w:val="BF9E0DF6"/>
    <w:rsid w:val="D5FFBBF8"/>
    <w:rsid w:val="D64AAEE9"/>
    <w:rsid w:val="D7DFA4C4"/>
    <w:rsid w:val="DD7D492A"/>
    <w:rsid w:val="DDE74755"/>
    <w:rsid w:val="DEFA1D40"/>
    <w:rsid w:val="DF8E5984"/>
    <w:rsid w:val="DFEFFC9E"/>
    <w:rsid w:val="E39D7560"/>
    <w:rsid w:val="ECF16DF0"/>
    <w:rsid w:val="EEEFAED8"/>
    <w:rsid w:val="F576D4C4"/>
    <w:rsid w:val="F73517D2"/>
    <w:rsid w:val="F9FD12A7"/>
    <w:rsid w:val="F9FFCE9B"/>
    <w:rsid w:val="FBBF3B28"/>
    <w:rsid w:val="FD73573C"/>
    <w:rsid w:val="FDEB8028"/>
    <w:rsid w:val="FDEFFB09"/>
    <w:rsid w:val="FDF52BDC"/>
    <w:rsid w:val="FDFF6663"/>
    <w:rsid w:val="FE3FEA05"/>
    <w:rsid w:val="FECBFC17"/>
    <w:rsid w:val="FEEF0245"/>
    <w:rsid w:val="FF0FFA6D"/>
    <w:rsid w:val="FF7FEE33"/>
    <w:rsid w:val="FFBED239"/>
    <w:rsid w:val="FFF7CA41"/>
    <w:rsid w:val="FFFAEEA3"/>
    <w:rsid w:val="FFFAF56A"/>
    <w:rsid w:val="FFFBC103"/>
    <w:rsid w:val="FFFFC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7229</Words>
  <Characters>8059</Characters>
  <Lines>74</Lines>
  <Paragraphs>21</Paragraphs>
  <TotalTime>4</TotalTime>
  <ScaleCrop>false</ScaleCrop>
  <LinksUpToDate>false</LinksUpToDate>
  <CharactersWithSpaces>9658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2020-01-11T16:29:00Z</dcterms:created>
  <dc:creator>穆斯塔帕</dc:creator>
  <cp:lastModifiedBy>Administrator</cp:lastModifiedBy>
  <cp:lastPrinted>2021-03-03T12:54:00Z</cp:lastPrinted>
  <dcterms:modified xsi:type="dcterms:W3CDTF">2025-06-24T04:38:31Z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