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highlight w:val="none"/>
        </w:rPr>
      </w:pPr>
      <w:r>
        <w:rPr>
          <w:rFonts w:hint="eastAsia" w:ascii="黑体" w:hAnsi="黑体" w:eastAsia="黑体"/>
          <w:sz w:val="32"/>
          <w:szCs w:val="32"/>
          <w:highlight w:val="none"/>
        </w:rPr>
        <w:t>附件：</w:t>
      </w:r>
      <w:bookmarkStart w:id="0" w:name="_GoBack"/>
      <w:bookmarkEnd w:id="0"/>
    </w:p>
    <w:p>
      <w:pPr>
        <w:rPr>
          <w:highlight w:val="none"/>
        </w:rPr>
      </w:pPr>
    </w:p>
    <w:p>
      <w:pPr>
        <w:rPr>
          <w:highlight w:val="none"/>
        </w:rPr>
      </w:pPr>
    </w:p>
    <w:p>
      <w:pPr>
        <w:widowControl/>
        <w:spacing w:before="100" w:beforeAutospacing="1" w:after="100" w:afterAutospacing="1"/>
        <w:outlineLvl w:val="1"/>
        <w:rPr>
          <w:rFonts w:ascii="黑体" w:hAnsi="黑体" w:eastAsia="黑体" w:cs="宋体"/>
          <w:kern w:val="0"/>
          <w:sz w:val="32"/>
          <w:szCs w:val="32"/>
          <w:highlight w:val="none"/>
        </w:rPr>
      </w:pPr>
    </w:p>
    <w:p>
      <w:pPr>
        <w:widowControl/>
        <w:spacing w:before="100" w:beforeAutospacing="1" w:after="100" w:afterAutospacing="1"/>
        <w:outlineLvl w:val="1"/>
        <w:rPr>
          <w:rFonts w:ascii="黑体" w:hAnsi="黑体" w:eastAsia="黑体" w:cs="宋体"/>
          <w:kern w:val="0"/>
          <w:sz w:val="32"/>
          <w:szCs w:val="32"/>
          <w:highlight w:val="none"/>
        </w:rPr>
      </w:pPr>
    </w:p>
    <w:p>
      <w:pPr>
        <w:widowControl/>
        <w:spacing w:before="100" w:beforeAutospacing="1" w:after="100" w:afterAutospacing="1"/>
        <w:outlineLvl w:val="1"/>
        <w:rPr>
          <w:rFonts w:ascii="宋体" w:hAnsi="宋体" w:cs="宋体"/>
          <w:b/>
          <w:bCs/>
          <w:kern w:val="0"/>
          <w:sz w:val="44"/>
          <w:szCs w:val="44"/>
          <w:highlight w:val="none"/>
        </w:rPr>
      </w:pPr>
    </w:p>
    <w:p>
      <w:pPr>
        <w:widowControl/>
        <w:spacing w:before="100" w:beforeAutospacing="1" w:after="100" w:afterAutospacing="1"/>
        <w:jc w:val="center"/>
        <w:outlineLvl w:val="1"/>
        <w:rPr>
          <w:rFonts w:hint="eastAsia" w:ascii="方正小标宋_GBK" w:hAnsi="宋体" w:eastAsia="方正小标宋_GBK"/>
          <w:kern w:val="0"/>
          <w:sz w:val="44"/>
          <w:szCs w:val="44"/>
          <w:highlight w:val="none"/>
          <w:lang w:val="en-US" w:eastAsia="zh-CN"/>
        </w:rPr>
      </w:pPr>
      <w:r>
        <w:rPr>
          <w:rFonts w:hint="eastAsia" w:ascii="方正小标宋_GBK" w:hAnsi="宋体" w:eastAsia="方正小标宋_GBK"/>
          <w:kern w:val="0"/>
          <w:sz w:val="44"/>
          <w:szCs w:val="44"/>
          <w:highlight w:val="none"/>
        </w:rPr>
        <w:t>克孜勒苏柯尔克孜自治州</w:t>
      </w:r>
      <w:r>
        <w:rPr>
          <w:rFonts w:hint="eastAsia" w:ascii="方正小标宋_GBK" w:hAnsi="宋体" w:eastAsia="方正小标宋_GBK"/>
          <w:kern w:val="0"/>
          <w:sz w:val="44"/>
          <w:szCs w:val="44"/>
          <w:highlight w:val="none"/>
          <w:lang w:eastAsia="zh-CN"/>
        </w:rPr>
        <w:t>人口和</w:t>
      </w:r>
      <w:r>
        <w:rPr>
          <w:rFonts w:hint="eastAsia" w:ascii="方正小标宋_GBK" w:hAnsi="宋体" w:eastAsia="方正小标宋_GBK"/>
          <w:kern w:val="0"/>
          <w:sz w:val="44"/>
          <w:szCs w:val="44"/>
          <w:highlight w:val="none"/>
          <w:lang w:val="en-US" w:eastAsia="zh-CN"/>
        </w:rPr>
        <w:t>计划生育药具</w:t>
      </w:r>
    </w:p>
    <w:p>
      <w:pPr>
        <w:widowControl/>
        <w:spacing w:before="100" w:beforeAutospacing="1" w:after="100" w:afterAutospacing="1"/>
        <w:jc w:val="center"/>
        <w:outlineLvl w:val="1"/>
        <w:rPr>
          <w:rFonts w:ascii="方正小标宋_GBK" w:hAnsi="宋体" w:eastAsia="方正小标宋_GBK"/>
          <w:kern w:val="0"/>
          <w:sz w:val="44"/>
          <w:szCs w:val="44"/>
          <w:highlight w:val="none"/>
        </w:rPr>
      </w:pPr>
      <w:r>
        <w:rPr>
          <w:rFonts w:hint="eastAsia" w:ascii="方正小标宋_GBK" w:hAnsi="宋体" w:eastAsia="方正小标宋_GBK"/>
          <w:kern w:val="0"/>
          <w:sz w:val="44"/>
          <w:szCs w:val="44"/>
          <w:highlight w:val="none"/>
          <w:lang w:val="en-US" w:eastAsia="zh-CN"/>
        </w:rPr>
        <w:t>管理站2021</w:t>
      </w:r>
      <w:r>
        <w:rPr>
          <w:rFonts w:hint="eastAsia" w:ascii="方正小标宋_GBK" w:hAnsi="宋体" w:eastAsia="方正小标宋_GBK"/>
          <w:kern w:val="0"/>
          <w:sz w:val="44"/>
          <w:szCs w:val="44"/>
          <w:highlight w:val="none"/>
        </w:rPr>
        <w:t>年预算公开</w:t>
      </w: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before="100" w:beforeAutospacing="1" w:after="100" w:afterAutospacing="1"/>
        <w:jc w:val="center"/>
        <w:outlineLvl w:val="1"/>
        <w:rPr>
          <w:rFonts w:ascii="宋体" w:hAnsi="宋体"/>
          <w:b/>
          <w:kern w:val="0"/>
          <w:sz w:val="44"/>
          <w:szCs w:val="44"/>
          <w:highlight w:val="none"/>
        </w:rPr>
      </w:pPr>
    </w:p>
    <w:p>
      <w:pPr>
        <w:widowControl/>
        <w:spacing w:line="460" w:lineRule="exact"/>
        <w:jc w:val="both"/>
        <w:outlineLvl w:val="1"/>
        <w:rPr>
          <w:rFonts w:hint="eastAsia" w:ascii="黑体" w:hAnsi="黑体" w:eastAsia="黑体"/>
          <w:kern w:val="0"/>
          <w:sz w:val="28"/>
          <w:szCs w:val="28"/>
          <w:highlight w:val="none"/>
        </w:rPr>
      </w:pPr>
    </w:p>
    <w:p>
      <w:pPr>
        <w:widowControl/>
        <w:spacing w:line="460" w:lineRule="exact"/>
        <w:jc w:val="both"/>
        <w:outlineLvl w:val="1"/>
        <w:rPr>
          <w:rFonts w:hint="eastAsia" w:ascii="黑体" w:hAnsi="黑体" w:eastAsia="黑体"/>
          <w:kern w:val="0"/>
          <w:sz w:val="28"/>
          <w:szCs w:val="28"/>
          <w:highlight w:val="none"/>
        </w:rPr>
      </w:pPr>
    </w:p>
    <w:p>
      <w:pPr>
        <w:widowControl/>
        <w:spacing w:line="460" w:lineRule="exact"/>
        <w:jc w:val="center"/>
        <w:outlineLvl w:val="1"/>
        <w:rPr>
          <w:rFonts w:hint="eastAsia" w:ascii="仿宋" w:hAnsi="仿宋" w:eastAsia="仿宋" w:cs="仿宋"/>
          <w:kern w:val="0"/>
          <w:sz w:val="32"/>
          <w:szCs w:val="32"/>
          <w:highlight w:val="none"/>
        </w:rPr>
      </w:pPr>
    </w:p>
    <w:p>
      <w:pPr>
        <w:widowControl/>
        <w:spacing w:line="460" w:lineRule="exact"/>
        <w:jc w:val="center"/>
        <w:outlineLvl w:val="1"/>
        <w:rPr>
          <w:rFonts w:hint="eastAsia" w:ascii="仿宋" w:hAnsi="仿宋" w:eastAsia="仿宋" w:cs="仿宋"/>
          <w:kern w:val="0"/>
          <w:sz w:val="32"/>
          <w:szCs w:val="32"/>
          <w:highlight w:val="none"/>
        </w:rPr>
      </w:pPr>
    </w:p>
    <w:p>
      <w:pPr>
        <w:widowControl/>
        <w:spacing w:line="460" w:lineRule="exact"/>
        <w:jc w:val="center"/>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目 录</w:t>
      </w:r>
    </w:p>
    <w:p>
      <w:pPr>
        <w:widowControl/>
        <w:spacing w:line="460" w:lineRule="exact"/>
        <w:ind w:firstLine="640" w:firstLineChars="200"/>
        <w:outlineLvl w:val="1"/>
        <w:rPr>
          <w:rFonts w:hint="eastAsia" w:ascii="仿宋" w:hAnsi="仿宋" w:eastAsia="仿宋" w:cs="仿宋"/>
          <w:kern w:val="0"/>
          <w:sz w:val="32"/>
          <w:szCs w:val="32"/>
          <w:highlight w:val="none"/>
        </w:rPr>
      </w:pPr>
    </w:p>
    <w:p>
      <w:pPr>
        <w:widowControl/>
        <w:spacing w:line="460" w:lineRule="exact"/>
        <w:ind w:firstLine="643" w:firstLineChars="200"/>
        <w:outlineLvl w:val="1"/>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第一部分  </w:t>
      </w:r>
      <w:r>
        <w:rPr>
          <w:rFonts w:hint="eastAsia" w:ascii="仿宋" w:hAnsi="仿宋" w:eastAsia="仿宋" w:cs="仿宋"/>
          <w:b/>
          <w:kern w:val="0"/>
          <w:sz w:val="32"/>
          <w:szCs w:val="32"/>
          <w:highlight w:val="none"/>
          <w:lang w:val="en-US" w:eastAsia="zh-CN"/>
        </w:rPr>
        <w:t>克孜勒苏柯尔克孜自治州人口和计划生育药具管理站</w:t>
      </w:r>
      <w:r>
        <w:rPr>
          <w:rFonts w:hint="eastAsia" w:ascii="仿宋" w:hAnsi="仿宋" w:eastAsia="仿宋" w:cs="仿宋"/>
          <w:b/>
          <w:kern w:val="0"/>
          <w:sz w:val="32"/>
          <w:szCs w:val="32"/>
          <w:highlight w:val="none"/>
        </w:rPr>
        <w:t>概况</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一、主要职能</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二、机构设置及人员情况</w:t>
      </w:r>
    </w:p>
    <w:p>
      <w:pPr>
        <w:widowControl/>
        <w:spacing w:line="460" w:lineRule="exact"/>
        <w:ind w:firstLine="643" w:firstLineChars="200"/>
        <w:outlineLvl w:val="1"/>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第二部分  </w:t>
      </w:r>
      <w:r>
        <w:rPr>
          <w:rFonts w:hint="eastAsia" w:ascii="仿宋" w:hAnsi="仿宋" w:eastAsia="仿宋" w:cs="仿宋"/>
          <w:b/>
          <w:kern w:val="0"/>
          <w:sz w:val="32"/>
          <w:szCs w:val="32"/>
          <w:highlight w:val="none"/>
          <w:lang w:val="en-US" w:eastAsia="zh-CN"/>
        </w:rPr>
        <w:t>2021</w:t>
      </w:r>
      <w:r>
        <w:rPr>
          <w:rFonts w:hint="eastAsia" w:ascii="仿宋" w:hAnsi="仿宋" w:eastAsia="仿宋" w:cs="仿宋"/>
          <w:b/>
          <w:kern w:val="0"/>
          <w:sz w:val="32"/>
          <w:szCs w:val="32"/>
          <w:highlight w:val="none"/>
        </w:rPr>
        <w:t>年部门</w:t>
      </w:r>
      <w:r>
        <w:rPr>
          <w:rFonts w:hint="eastAsia" w:ascii="仿宋" w:hAnsi="仿宋" w:eastAsia="仿宋" w:cs="仿宋"/>
          <w:b/>
          <w:kern w:val="0"/>
          <w:sz w:val="32"/>
          <w:szCs w:val="32"/>
          <w:highlight w:val="none"/>
          <w:lang w:eastAsia="zh-CN"/>
        </w:rPr>
        <w:t>（单位）</w:t>
      </w:r>
      <w:r>
        <w:rPr>
          <w:rFonts w:hint="eastAsia" w:ascii="仿宋" w:hAnsi="仿宋" w:eastAsia="仿宋" w:cs="仿宋"/>
          <w:b/>
          <w:kern w:val="0"/>
          <w:sz w:val="32"/>
          <w:szCs w:val="32"/>
          <w:highlight w:val="none"/>
        </w:rPr>
        <w:t>预算公开表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一、部门</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收支总体情况表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二、部门</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收入总体情况表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三、部门</w:t>
      </w:r>
      <w:r>
        <w:rPr>
          <w:rFonts w:hint="eastAsia" w:ascii="仿宋" w:hAnsi="仿宋" w:eastAsia="仿宋" w:cs="仿宋"/>
          <w:kern w:val="0"/>
          <w:sz w:val="32"/>
          <w:szCs w:val="32"/>
          <w:highlight w:val="none"/>
          <w:lang w:eastAsia="zh-CN"/>
        </w:rPr>
        <w:t>（单位）</w:t>
      </w:r>
      <w:r>
        <w:rPr>
          <w:rFonts w:hint="eastAsia" w:ascii="仿宋" w:hAnsi="仿宋" w:eastAsia="仿宋" w:cs="仿宋"/>
          <w:kern w:val="0"/>
          <w:sz w:val="32"/>
          <w:szCs w:val="32"/>
          <w:highlight w:val="none"/>
        </w:rPr>
        <w:t>支出总体情况表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四、财政拨款收支总体情况表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五、一般公共预算支出情况表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六、一般公共预算基本支出情况表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七、一般公共预算</w:t>
      </w:r>
      <w:r>
        <w:rPr>
          <w:rFonts w:hint="eastAsia" w:ascii="仿宋" w:hAnsi="仿宋" w:eastAsia="仿宋" w:cs="仿宋"/>
          <w:bCs/>
          <w:kern w:val="0"/>
          <w:sz w:val="32"/>
          <w:szCs w:val="32"/>
          <w:highlight w:val="none"/>
        </w:rPr>
        <w:t>项目支出情况表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八、一般公共预算“三公”经费支出情况表</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九、政府性基金预算支出情况表</w:t>
      </w:r>
    </w:p>
    <w:p>
      <w:pPr>
        <w:widowControl/>
        <w:spacing w:line="460" w:lineRule="exact"/>
        <w:ind w:firstLine="643" w:firstLineChars="200"/>
        <w:outlineLvl w:val="1"/>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第三部分  </w:t>
      </w:r>
      <w:r>
        <w:rPr>
          <w:rFonts w:hint="eastAsia" w:ascii="仿宋" w:hAnsi="仿宋" w:eastAsia="仿宋" w:cs="仿宋"/>
          <w:b/>
          <w:kern w:val="0"/>
          <w:sz w:val="32"/>
          <w:szCs w:val="32"/>
          <w:highlight w:val="none"/>
          <w:lang w:val="en-US" w:eastAsia="zh-CN"/>
        </w:rPr>
        <w:t>2021</w:t>
      </w:r>
      <w:r>
        <w:rPr>
          <w:rFonts w:hint="eastAsia" w:ascii="仿宋" w:hAnsi="仿宋" w:eastAsia="仿宋" w:cs="仿宋"/>
          <w:b/>
          <w:kern w:val="0"/>
          <w:sz w:val="32"/>
          <w:szCs w:val="32"/>
          <w:highlight w:val="none"/>
        </w:rPr>
        <w:t>年部门</w:t>
      </w:r>
      <w:r>
        <w:rPr>
          <w:rFonts w:hint="eastAsia" w:ascii="仿宋" w:hAnsi="仿宋" w:eastAsia="仿宋" w:cs="仿宋"/>
          <w:b/>
          <w:kern w:val="0"/>
          <w:sz w:val="32"/>
          <w:szCs w:val="32"/>
          <w:highlight w:val="none"/>
          <w:lang w:eastAsia="zh-CN"/>
        </w:rPr>
        <w:t>（单位）</w:t>
      </w:r>
      <w:r>
        <w:rPr>
          <w:rFonts w:hint="eastAsia" w:ascii="仿宋" w:hAnsi="仿宋" w:eastAsia="仿宋" w:cs="仿宋"/>
          <w:b/>
          <w:kern w:val="0"/>
          <w:sz w:val="32"/>
          <w:szCs w:val="32"/>
          <w:highlight w:val="none"/>
        </w:rPr>
        <w:t>预算情况说明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年收支预算情况的总体说明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年收入预算情况说明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年支出预算情况说明</w:t>
      </w:r>
    </w:p>
    <w:p>
      <w:pPr>
        <w:widowControl/>
        <w:spacing w:line="460" w:lineRule="exact"/>
        <w:ind w:firstLine="640" w:firstLineChars="200"/>
        <w:outlineLvl w:val="1"/>
        <w:rPr>
          <w:rFonts w:hint="eastAsia" w:ascii="仿宋" w:hAnsi="仿宋" w:eastAsia="仿宋" w:cs="仿宋"/>
          <w:bCs/>
          <w:kern w:val="0"/>
          <w:sz w:val="32"/>
          <w:szCs w:val="32"/>
          <w:highlight w:val="none"/>
        </w:rPr>
      </w:pPr>
      <w:r>
        <w:rPr>
          <w:rFonts w:hint="eastAsia" w:ascii="仿宋" w:hAnsi="仿宋" w:eastAsia="仿宋" w:cs="仿宋"/>
          <w:bCs/>
          <w:kern w:val="0"/>
          <w:sz w:val="32"/>
          <w:szCs w:val="32"/>
          <w:highlight w:val="none"/>
        </w:rPr>
        <w:t>四、关于</w:t>
      </w:r>
      <w:r>
        <w:rPr>
          <w:rFonts w:hint="eastAsia" w:ascii="仿宋" w:hAnsi="仿宋" w:eastAsia="仿宋" w:cs="仿宋"/>
          <w:bCs/>
          <w:kern w:val="0"/>
          <w:sz w:val="32"/>
          <w:szCs w:val="32"/>
          <w:highlight w:val="none"/>
          <w:lang w:val="en-US" w:eastAsia="zh-CN"/>
        </w:rPr>
        <w:t>克孜勒苏柯尔克孜自治州人口和计划生育药具管理站2021</w:t>
      </w:r>
      <w:r>
        <w:rPr>
          <w:rFonts w:hint="eastAsia" w:ascii="仿宋" w:hAnsi="仿宋" w:eastAsia="仿宋" w:cs="仿宋"/>
          <w:bCs/>
          <w:kern w:val="0"/>
          <w:sz w:val="32"/>
          <w:szCs w:val="32"/>
          <w:highlight w:val="none"/>
        </w:rPr>
        <w:t>年财政拨款收支预算情况的总体说明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五、关于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年一般公共预算当年拨款情况说明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六、关于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年一般公共预算基本支出情况说明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七、关于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年项目支出情况说明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八、关于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年一般公共预算“三公”经费预算情况说明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九、关于</w:t>
      </w:r>
      <w:r>
        <w:rPr>
          <w:rFonts w:hint="eastAsia" w:ascii="仿宋" w:hAnsi="仿宋" w:eastAsia="仿宋" w:cs="仿宋"/>
          <w:kern w:val="0"/>
          <w:sz w:val="32"/>
          <w:szCs w:val="32"/>
          <w:highlight w:val="none"/>
          <w:lang w:val="en-US" w:eastAsia="zh-CN"/>
        </w:rPr>
        <w:t>克孜勒苏柯尔克孜自治州人口和计划生育药具管理站2021</w:t>
      </w:r>
      <w:r>
        <w:rPr>
          <w:rFonts w:hint="eastAsia" w:ascii="仿宋" w:hAnsi="仿宋" w:eastAsia="仿宋" w:cs="仿宋"/>
          <w:kern w:val="0"/>
          <w:sz w:val="32"/>
          <w:szCs w:val="32"/>
          <w:highlight w:val="none"/>
        </w:rPr>
        <w:t>年政府性基金预算拨款情况说明</w:t>
      </w:r>
    </w:p>
    <w:p>
      <w:pPr>
        <w:widowControl/>
        <w:spacing w:line="460" w:lineRule="exact"/>
        <w:ind w:firstLine="640" w:firstLineChars="200"/>
        <w:outlineLvl w:val="1"/>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十、其他重要事项的情况说明</w:t>
      </w:r>
    </w:p>
    <w:p>
      <w:pPr>
        <w:widowControl/>
        <w:spacing w:line="460" w:lineRule="exact"/>
        <w:ind w:firstLine="643" w:firstLineChars="20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第四部分  名词解释</w:t>
      </w: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spacing w:line="460" w:lineRule="exact"/>
        <w:ind w:firstLine="643" w:firstLineChars="200"/>
        <w:outlineLvl w:val="1"/>
        <w:rPr>
          <w:rFonts w:hint="eastAsia" w:ascii="仿宋_GB2312" w:hAnsi="宋体" w:eastAsia="仿宋_GB2312"/>
          <w:b/>
          <w:kern w:val="0"/>
          <w:sz w:val="32"/>
          <w:szCs w:val="32"/>
          <w:highlight w:val="none"/>
        </w:rPr>
      </w:pPr>
    </w:p>
    <w:p>
      <w:pPr>
        <w:widowControl/>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第一部分 </w:t>
      </w:r>
      <w:r>
        <w:rPr>
          <w:rFonts w:hint="eastAsia" w:ascii="黑体" w:hAnsi="黑体" w:eastAsia="黑体"/>
          <w:kern w:val="0"/>
          <w:sz w:val="32"/>
          <w:szCs w:val="32"/>
          <w:highlight w:val="none"/>
          <w:lang w:val="en-US" w:eastAsia="zh-CN"/>
        </w:rPr>
        <w:t>克孜勒苏柯尔克孜自治州人口和计划生育药具管理站</w:t>
      </w:r>
      <w:r>
        <w:rPr>
          <w:rFonts w:hint="eastAsia" w:ascii="黑体" w:hAnsi="黑体" w:eastAsia="黑体"/>
          <w:kern w:val="0"/>
          <w:sz w:val="32"/>
          <w:szCs w:val="32"/>
          <w:highlight w:val="none"/>
        </w:rPr>
        <w:t>单位概况</w:t>
      </w:r>
    </w:p>
    <w:p>
      <w:pPr>
        <w:widowControl/>
        <w:jc w:val="center"/>
        <w:outlineLvl w:val="1"/>
        <w:rPr>
          <w:rFonts w:ascii="宋体" w:hAnsi="宋体"/>
          <w:b/>
          <w:kern w:val="0"/>
          <w:sz w:val="32"/>
          <w:szCs w:val="32"/>
          <w:highlight w:val="none"/>
        </w:rPr>
      </w:pPr>
    </w:p>
    <w:p>
      <w:pPr>
        <w:widowControl/>
        <w:spacing w:line="560" w:lineRule="exact"/>
        <w:jc w:val="left"/>
        <w:rPr>
          <w:rFonts w:ascii="黑体" w:hAnsi="黑体" w:eastAsia="黑体" w:cs="宋体"/>
          <w:bCs/>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黑体" w:hAnsi="黑体" w:eastAsia="黑体" w:cs="宋体"/>
          <w:bCs/>
          <w:kern w:val="0"/>
          <w:sz w:val="32"/>
          <w:szCs w:val="32"/>
          <w:highlight w:val="none"/>
        </w:rPr>
        <w:t>一、主要职能</w:t>
      </w:r>
    </w:p>
    <w:p>
      <w:pPr>
        <w:pStyle w:val="6"/>
        <w:widowControl w:val="0"/>
        <w:shd w:val="clear" w:color="auto" w:fill="FFFFFF"/>
        <w:spacing w:before="0" w:beforeAutospacing="0" w:after="0" w:afterAutospacing="0" w:line="500" w:lineRule="exact"/>
        <w:ind w:firstLine="420"/>
        <w:rPr>
          <w:rFonts w:ascii="仿宋_GB2312" w:hAnsi="宋体" w:eastAsia="仿宋_GB2312" w:cs="宋体"/>
          <w:bCs/>
          <w:kern w:val="0"/>
          <w:sz w:val="32"/>
          <w:szCs w:val="32"/>
          <w:highlight w:val="none"/>
        </w:rPr>
      </w:pPr>
      <w:r>
        <w:rPr>
          <w:rFonts w:hint="eastAsia" w:ascii="黑体" w:hAnsi="黑体" w:eastAsia="黑体" w:cs="宋体"/>
          <w:bCs/>
          <w:kern w:val="0"/>
          <w:sz w:val="32"/>
          <w:szCs w:val="32"/>
          <w:highlight w:val="none"/>
        </w:rPr>
        <w:t xml:space="preserve">  </w:t>
      </w:r>
      <w:r>
        <w:rPr>
          <w:rFonts w:hint="eastAsia" w:ascii="仿宋_GB2312" w:hAnsi="黑体" w:eastAsia="仿宋_GB2312"/>
          <w:bCs/>
          <w:sz w:val="32"/>
          <w:szCs w:val="32"/>
          <w:highlight w:val="none"/>
          <w:lang w:eastAsia="zh-CN"/>
        </w:rPr>
        <w:t>克孜勒苏柯尔克孜自治州人口和计划生育药具管理</w:t>
      </w:r>
      <w:r>
        <w:rPr>
          <w:rFonts w:hint="eastAsia" w:ascii="仿宋_GB2312" w:hAnsi="黑体" w:eastAsia="仿宋_GB2312"/>
          <w:bCs/>
          <w:sz w:val="32"/>
          <w:szCs w:val="32"/>
          <w:highlight w:val="none"/>
        </w:rPr>
        <w:t>站的工作职能包括：贯彻执行国家、自治区有关计划生育法律、法规和方针、政策；制定全州计划生育避孕药具发展规划并负责组织实施；组织或协同开展计生避孕药具科学研究、技术推广和药具知识培训；指导计生药具站数字化服务网络建设，组织开展数字化服务。</w:t>
      </w:r>
      <w:r>
        <w:rPr>
          <w:rFonts w:hint="eastAsia" w:ascii="仿宋_GB2312" w:hAnsi="宋体" w:eastAsia="仿宋_GB2312" w:cs="宋体"/>
          <w:bCs/>
          <w:kern w:val="0"/>
          <w:sz w:val="32"/>
          <w:szCs w:val="32"/>
          <w:highlight w:val="none"/>
        </w:rPr>
        <w:t xml:space="preserve"> </w:t>
      </w:r>
    </w:p>
    <w:p>
      <w:pPr>
        <w:widowControl/>
        <w:numPr>
          <w:ilvl w:val="0"/>
          <w:numId w:val="1"/>
        </w:numPr>
        <w:spacing w:line="560" w:lineRule="exact"/>
        <w:ind w:left="640" w:leftChars="0" w:firstLine="0" w:firstLineChars="0"/>
        <w:jc w:val="left"/>
        <w:rPr>
          <w:rFonts w:hint="eastAsia" w:ascii="黑体" w:hAnsi="黑体" w:eastAsia="黑体" w:cs="宋体"/>
          <w:bCs/>
          <w:kern w:val="0"/>
          <w:sz w:val="32"/>
          <w:szCs w:val="32"/>
          <w:highlight w:val="none"/>
        </w:rPr>
      </w:pPr>
      <w:r>
        <w:rPr>
          <w:rFonts w:hint="eastAsia" w:ascii="黑体" w:hAnsi="黑体" w:eastAsia="黑体" w:cs="宋体"/>
          <w:bCs/>
          <w:kern w:val="0"/>
          <w:sz w:val="32"/>
          <w:szCs w:val="32"/>
          <w:highlight w:val="none"/>
        </w:rPr>
        <w:t>机构设置及人员情况</w:t>
      </w:r>
    </w:p>
    <w:p>
      <w:pPr>
        <w:pStyle w:val="6"/>
        <w:widowControl w:val="0"/>
        <w:shd w:val="clear" w:color="auto" w:fill="FFFFFF"/>
        <w:spacing w:before="0" w:beforeAutospacing="0" w:after="0" w:afterAutospacing="0" w:line="500" w:lineRule="exact"/>
        <w:ind w:firstLine="420"/>
        <w:rPr>
          <w:rFonts w:ascii="仿宋_GB2312" w:hAnsi="黑体" w:eastAsia="仿宋_GB2312"/>
          <w:bCs/>
          <w:sz w:val="32"/>
          <w:szCs w:val="32"/>
          <w:highlight w:val="none"/>
        </w:rPr>
      </w:pPr>
      <w:r>
        <w:rPr>
          <w:rFonts w:hint="eastAsia" w:ascii="仿宋_GB2312" w:hAnsi="黑体" w:eastAsia="仿宋_GB2312"/>
          <w:bCs/>
          <w:sz w:val="32"/>
          <w:szCs w:val="32"/>
          <w:highlight w:val="none"/>
          <w:lang w:eastAsia="zh-CN"/>
        </w:rPr>
        <w:t>克孜勒苏柯尔克孜自治州人口和计划生育药具管理站</w:t>
      </w:r>
      <w:r>
        <w:rPr>
          <w:rFonts w:hint="eastAsia" w:ascii="仿宋_GB2312" w:hAnsi="黑体" w:eastAsia="仿宋_GB2312"/>
          <w:bCs/>
          <w:sz w:val="32"/>
          <w:szCs w:val="32"/>
          <w:highlight w:val="none"/>
        </w:rPr>
        <w:t>单位无下属预算单位，无下设科室。</w:t>
      </w:r>
    </w:p>
    <w:p>
      <w:pPr>
        <w:pStyle w:val="6"/>
        <w:widowControl w:val="0"/>
        <w:shd w:val="clear" w:color="auto" w:fill="FFFFFF"/>
        <w:spacing w:before="0" w:beforeAutospacing="0" w:after="0" w:afterAutospacing="0" w:line="500" w:lineRule="exact"/>
        <w:ind w:firstLine="420"/>
        <w:rPr>
          <w:rFonts w:ascii="仿宋_GB2312" w:hAnsi="黑体" w:eastAsia="仿宋_GB2312"/>
          <w:bCs/>
          <w:sz w:val="32"/>
          <w:szCs w:val="32"/>
          <w:highlight w:val="none"/>
        </w:rPr>
      </w:pPr>
      <w:r>
        <w:rPr>
          <w:rFonts w:hint="eastAsia" w:ascii="仿宋_GB2312" w:hAnsi="黑体" w:eastAsia="仿宋_GB2312"/>
          <w:bCs/>
          <w:sz w:val="32"/>
          <w:szCs w:val="32"/>
          <w:highlight w:val="none"/>
          <w:lang w:eastAsia="zh-CN"/>
        </w:rPr>
        <w:t>克孜勒苏柯尔克孜自治州人口和计划生育药具管理站</w:t>
      </w:r>
      <w:r>
        <w:rPr>
          <w:rFonts w:hint="eastAsia" w:ascii="仿宋_GB2312" w:hAnsi="黑体" w:eastAsia="仿宋_GB2312"/>
          <w:bCs/>
          <w:sz w:val="32"/>
          <w:szCs w:val="32"/>
          <w:highlight w:val="none"/>
        </w:rPr>
        <w:t>单位编制数</w:t>
      </w:r>
      <w:r>
        <w:rPr>
          <w:rFonts w:ascii="仿宋_GB2312" w:hAnsi="黑体" w:eastAsia="仿宋_GB2312"/>
          <w:bCs/>
          <w:sz w:val="32"/>
          <w:szCs w:val="32"/>
          <w:highlight w:val="none"/>
        </w:rPr>
        <w:t>4</w:t>
      </w:r>
      <w:r>
        <w:rPr>
          <w:rFonts w:hint="eastAsia" w:ascii="仿宋_GB2312" w:hAnsi="黑体" w:eastAsia="仿宋_GB2312"/>
          <w:bCs/>
          <w:sz w:val="32"/>
          <w:szCs w:val="32"/>
          <w:highlight w:val="none"/>
        </w:rPr>
        <w:t>，实有人数</w:t>
      </w:r>
      <w:r>
        <w:rPr>
          <w:rFonts w:hint="eastAsia" w:ascii="仿宋_GB2312" w:hAnsi="黑体" w:eastAsia="仿宋_GB2312"/>
          <w:bCs/>
          <w:sz w:val="32"/>
          <w:szCs w:val="32"/>
          <w:highlight w:val="none"/>
          <w:lang w:val="en-US" w:eastAsia="zh-CN"/>
        </w:rPr>
        <w:t>5</w:t>
      </w:r>
      <w:r>
        <w:rPr>
          <w:rFonts w:hint="eastAsia" w:ascii="仿宋_GB2312" w:hAnsi="黑体" w:eastAsia="仿宋_GB2312"/>
          <w:bCs/>
          <w:sz w:val="32"/>
          <w:szCs w:val="32"/>
          <w:highlight w:val="none"/>
        </w:rPr>
        <w:t>人，其中：在职</w:t>
      </w:r>
      <w:r>
        <w:rPr>
          <w:rFonts w:hint="eastAsia" w:ascii="仿宋_GB2312" w:hAnsi="黑体" w:eastAsia="仿宋_GB2312"/>
          <w:bCs/>
          <w:sz w:val="32"/>
          <w:szCs w:val="32"/>
          <w:highlight w:val="none"/>
          <w:lang w:val="en-US" w:eastAsia="zh-CN"/>
        </w:rPr>
        <w:t>2</w:t>
      </w:r>
      <w:r>
        <w:rPr>
          <w:rFonts w:hint="eastAsia" w:ascii="仿宋_GB2312" w:hAnsi="黑体" w:eastAsia="仿宋_GB2312"/>
          <w:bCs/>
          <w:sz w:val="32"/>
          <w:szCs w:val="32"/>
          <w:highlight w:val="none"/>
        </w:rPr>
        <w:t>人，增加0人；退休</w:t>
      </w:r>
      <w:r>
        <w:rPr>
          <w:rFonts w:hint="eastAsia" w:ascii="仿宋_GB2312" w:hAnsi="黑体" w:eastAsia="仿宋_GB2312"/>
          <w:bCs/>
          <w:sz w:val="32"/>
          <w:szCs w:val="32"/>
          <w:highlight w:val="none"/>
          <w:lang w:val="en-US" w:eastAsia="zh-CN"/>
        </w:rPr>
        <w:t>3</w:t>
      </w:r>
      <w:r>
        <w:rPr>
          <w:rFonts w:hint="eastAsia" w:ascii="仿宋_GB2312" w:hAnsi="黑体" w:eastAsia="仿宋_GB2312"/>
          <w:bCs/>
          <w:sz w:val="32"/>
          <w:szCs w:val="32"/>
          <w:highlight w:val="none"/>
        </w:rPr>
        <w:t>人，增加</w:t>
      </w:r>
      <w:r>
        <w:rPr>
          <w:rFonts w:hint="eastAsia" w:ascii="仿宋_GB2312" w:hAnsi="黑体" w:eastAsia="仿宋_GB2312"/>
          <w:bCs/>
          <w:sz w:val="32"/>
          <w:szCs w:val="32"/>
          <w:highlight w:val="none"/>
          <w:lang w:val="en-US" w:eastAsia="zh-CN"/>
        </w:rPr>
        <w:t>1</w:t>
      </w:r>
      <w:r>
        <w:rPr>
          <w:rFonts w:hint="eastAsia" w:ascii="仿宋_GB2312" w:hAnsi="黑体" w:eastAsia="仿宋_GB2312"/>
          <w:bCs/>
          <w:sz w:val="32"/>
          <w:szCs w:val="32"/>
          <w:highlight w:val="none"/>
        </w:rPr>
        <w:t>人</w:t>
      </w:r>
      <w:r>
        <w:rPr>
          <w:rFonts w:hint="eastAsia" w:ascii="仿宋_GB2312" w:hAnsi="黑体" w:eastAsia="仿宋_GB2312"/>
          <w:bCs/>
          <w:sz w:val="32"/>
          <w:szCs w:val="32"/>
          <w:highlight w:val="none"/>
          <w:lang w:eastAsia="zh-CN"/>
        </w:rPr>
        <w:t>，</w:t>
      </w:r>
      <w:r>
        <w:rPr>
          <w:rFonts w:hint="eastAsia" w:ascii="仿宋_GB2312" w:hAnsi="黑体" w:eastAsia="仿宋_GB2312"/>
          <w:bCs/>
          <w:sz w:val="32"/>
          <w:szCs w:val="32"/>
          <w:highlight w:val="none"/>
        </w:rPr>
        <w:t>离休0人，增加0人。</w:t>
      </w: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line="560" w:lineRule="exact"/>
        <w:jc w:val="left"/>
        <w:rPr>
          <w:rFonts w:ascii="仿宋_GB2312" w:hAnsi="宋体" w:eastAsia="仿宋_GB2312" w:cs="宋体"/>
          <w:kern w:val="0"/>
          <w:sz w:val="32"/>
          <w:szCs w:val="32"/>
          <w:highlight w:val="none"/>
        </w:rPr>
      </w:pPr>
    </w:p>
    <w:p>
      <w:pPr>
        <w:widowControl/>
        <w:spacing w:before="120" w:beforeLines="50"/>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 xml:space="preserve">第二部分 </w:t>
      </w:r>
      <w:r>
        <w:rPr>
          <w:rFonts w:hint="eastAsia" w:ascii="黑体" w:hAnsi="黑体" w:eastAsia="黑体"/>
          <w:kern w:val="0"/>
          <w:sz w:val="32"/>
          <w:szCs w:val="32"/>
          <w:highlight w:val="none"/>
          <w:lang w:val="en-US" w:eastAsia="zh-CN"/>
        </w:rPr>
        <w:t>2021</w:t>
      </w:r>
      <w:r>
        <w:rPr>
          <w:rFonts w:hint="eastAsia" w:ascii="黑体" w:hAnsi="黑体" w:eastAsia="黑体"/>
          <w:kern w:val="0"/>
          <w:sz w:val="32"/>
          <w:szCs w:val="32"/>
          <w:highlight w:val="none"/>
        </w:rPr>
        <w:t>年部门预算公开表</w:t>
      </w:r>
    </w:p>
    <w:p>
      <w:pPr>
        <w:widowControl/>
        <w:spacing w:before="120" w:beforeLines="50"/>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表一：</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部门收支总体情况表</w:t>
      </w:r>
    </w:p>
    <w:p>
      <w:pPr>
        <w:widowControl/>
        <w:jc w:val="left"/>
        <w:outlineLvl w:val="1"/>
        <w:rPr>
          <w:rFonts w:hint="eastAsia" w:ascii="仿宋_GB2312" w:hAnsi="宋体" w:eastAsia="仿宋_GB2312"/>
          <w:kern w:val="0"/>
          <w:sz w:val="24"/>
          <w:highlight w:val="none"/>
        </w:rPr>
      </w:pPr>
      <w:r>
        <w:rPr>
          <w:rFonts w:hint="eastAsia" w:ascii="仿宋_GB2312" w:hAnsi="宋体" w:eastAsia="仿宋_GB2312"/>
          <w:kern w:val="0"/>
          <w:sz w:val="24"/>
          <w:highlight w:val="none"/>
        </w:rPr>
        <w:t>编制部门：</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rPr>
        <w:t xml:space="preserve">     单位：万元   </w:t>
      </w:r>
    </w:p>
    <w:tbl>
      <w:tblPr>
        <w:tblStyle w:val="7"/>
        <w:tblW w:w="9776" w:type="dxa"/>
        <w:tblInd w:w="0" w:type="dxa"/>
        <w:shd w:val="clear" w:color="auto" w:fill="auto"/>
        <w:tblLayout w:type="fixed"/>
        <w:tblCellMar>
          <w:top w:w="0" w:type="dxa"/>
          <w:left w:w="0" w:type="dxa"/>
          <w:bottom w:w="0" w:type="dxa"/>
          <w:right w:w="0" w:type="dxa"/>
        </w:tblCellMar>
      </w:tblPr>
      <w:tblGrid>
        <w:gridCol w:w="3810"/>
        <w:gridCol w:w="1629"/>
        <w:gridCol w:w="2630"/>
        <w:gridCol w:w="1707"/>
      </w:tblGrid>
      <w:tr>
        <w:tblPrEx>
          <w:shd w:val="clear" w:color="auto" w:fill="auto"/>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收入</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                    目</w:t>
            </w: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预算数</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功能分类</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预算数</w:t>
            </w: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一、财政拨款（补助）</w:t>
            </w: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25.77 </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201 一般公共服务支出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 xml:space="preserve">        一般公共预算</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25.77 </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 外交支出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 xml:space="preserve">       政府性基金预算</w:t>
            </w:r>
          </w:p>
        </w:tc>
        <w:tc>
          <w:tcPr>
            <w:tcW w:w="16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203 国防支出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9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 xml:space="preserve">       </w:t>
            </w:r>
            <w:r>
              <w:rPr>
                <w:rFonts w:hint="eastAsia" w:ascii="宋体" w:hAnsi="宋体" w:eastAsia="宋体" w:cs="宋体"/>
                <w:i w:val="0"/>
                <w:color w:val="auto"/>
                <w:sz w:val="20"/>
                <w:szCs w:val="20"/>
                <w:highlight w:val="none"/>
                <w:u w:val="none"/>
              </w:rPr>
              <w:t>国有资本经营预算</w:t>
            </w:r>
          </w:p>
        </w:tc>
        <w:tc>
          <w:tcPr>
            <w:tcW w:w="16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204 公共安全支出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教育收费（财政专户）</w:t>
            </w:r>
          </w:p>
        </w:tc>
        <w:tc>
          <w:tcPr>
            <w:tcW w:w="16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205 教育支出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sz w:val="20"/>
                <w:szCs w:val="20"/>
                <w:highlight w:val="none"/>
                <w:u w:val="none"/>
                <w:lang w:val="en-US" w:eastAsia="zh-CN"/>
              </w:rPr>
              <w:t>事业收入</w:t>
            </w:r>
          </w:p>
        </w:tc>
        <w:tc>
          <w:tcPr>
            <w:tcW w:w="16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206 科学技术支出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20"/>
                <w:szCs w:val="20"/>
                <w:highlight w:val="none"/>
                <w:u w:val="none"/>
                <w:lang w:val="en-US" w:eastAsia="zh-CN" w:bidi="ar"/>
              </w:rPr>
              <w:t>上级补助收入</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207 文化体育与传媒支出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事业单位经营收入</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208 社会保障和就业支出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单位其他资金收入</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209 社会保险基金支出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上级专项收入</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210 卫生健康支出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27.77 </w:t>
            </w:r>
          </w:p>
        </w:tc>
      </w:tr>
      <w:tr>
        <w:tblPrEx>
          <w:tblCellMar>
            <w:top w:w="0" w:type="dxa"/>
            <w:left w:w="0" w:type="dxa"/>
            <w:bottom w:w="0" w:type="dxa"/>
            <w:right w:w="0" w:type="dxa"/>
          </w:tblCellMar>
        </w:tblPrEx>
        <w:trPr>
          <w:trHeight w:val="20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用事业基金弥补收支差额</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211 节能环保支出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17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auto"/>
                <w:sz w:val="18"/>
                <w:szCs w:val="18"/>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212 城乡社区支出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2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宋体" w:hAnsi="宋体" w:eastAsia="宋体" w:cs="宋体"/>
                <w:i w:val="0"/>
                <w:color w:val="auto"/>
                <w:sz w:val="18"/>
                <w:szCs w:val="18"/>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213 农林水支出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15"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214 交通运输支出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35"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215 资源勘探工业信息等支出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05"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216 商业服务业等支出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217 金融支出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9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219 援助其他地区支出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9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 自然资源海洋气象等支出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221 住房保障支出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222 粮油物资管理支出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223 国有资本经营预算支出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224 灾害防治及应急管理支出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9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227 预备费</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25"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229 其他支出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25"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231 债务还本支出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4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232 债务付息支出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25"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233 债务发行费支出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24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auto"/>
                <w:sz w:val="20"/>
                <w:szCs w:val="20"/>
                <w:highlight w:val="none"/>
                <w:u w:val="none"/>
              </w:rPr>
            </w:pPr>
          </w:p>
        </w:tc>
        <w:tc>
          <w:tcPr>
            <w:tcW w:w="16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234 抗疫特别国债安排的支出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本  年  收  入  小  计</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25.77 </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本  年  支  出  小  计</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27.77 </w:t>
            </w: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单位上年结余（不包含国库集中支付额度结余）</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2.00 </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230 转移性支出</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360" w:hRule="atLeast"/>
        </w:trPr>
        <w:tc>
          <w:tcPr>
            <w:tcW w:w="38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收      入      总      计</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27.77</w:t>
            </w:r>
          </w:p>
        </w:tc>
        <w:tc>
          <w:tcPr>
            <w:tcW w:w="2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支   出  总   计</w:t>
            </w:r>
          </w:p>
        </w:tc>
        <w:tc>
          <w:tcPr>
            <w:tcW w:w="1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 xml:space="preserve">27.77 </w:t>
            </w:r>
          </w:p>
        </w:tc>
      </w:tr>
    </w:tbl>
    <w:p>
      <w:pPr>
        <w:widowControl/>
        <w:jc w:val="left"/>
        <w:outlineLvl w:val="1"/>
        <w:rPr>
          <w:rFonts w:hint="eastAsia" w:ascii="仿宋_GB2312" w:hAnsi="宋体" w:eastAsia="仿宋_GB2312"/>
          <w:kern w:val="0"/>
          <w:sz w:val="24"/>
          <w:highlight w:val="none"/>
        </w:rPr>
        <w:sectPr>
          <w:headerReference r:id="rId3" w:type="first"/>
          <w:footerReference r:id="rId6" w:type="first"/>
          <w:footerReference r:id="rId4" w:type="default"/>
          <w:footerReference r:id="rId5" w:type="even"/>
          <w:pgSz w:w="11906" w:h="16838"/>
          <w:pgMar w:top="1440" w:right="1080" w:bottom="1440" w:left="1080" w:header="851" w:footer="992" w:gutter="0"/>
          <w:pgNumType w:fmt="decimal"/>
          <w:cols w:space="720" w:num="1"/>
          <w:docGrid w:linePitch="312" w:charSpace="0"/>
        </w:sect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表二：</w:t>
      </w:r>
    </w:p>
    <w:p>
      <w:pPr>
        <w:widowControl/>
        <w:jc w:val="center"/>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部门收入总体情况表</w:t>
      </w:r>
    </w:p>
    <w:p>
      <w:pPr>
        <w:widowControl/>
        <w:jc w:val="both"/>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kern w:val="0"/>
          <w:sz w:val="24"/>
          <w:highlight w:val="none"/>
        </w:rPr>
      </w:pPr>
      <w:r>
        <w:rPr>
          <w:rFonts w:hint="eastAsia" w:ascii="仿宋_GB2312" w:hAnsi="宋体" w:eastAsia="仿宋_GB2312"/>
          <w:kern w:val="0"/>
          <w:sz w:val="24"/>
          <w:highlight w:val="none"/>
        </w:rPr>
        <w:t>编制部门：</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rPr>
        <w:t xml:space="preserve">         </w:t>
      </w:r>
    </w:p>
    <w:p>
      <w:pPr>
        <w:widowControl/>
        <w:jc w:val="left"/>
        <w:outlineLvl w:val="1"/>
        <w:rPr>
          <w:rFonts w:hint="eastAsia" w:ascii="仿宋_GB2312" w:hAnsi="宋体" w:eastAsia="仿宋_GB2312"/>
          <w:kern w:val="0"/>
          <w:sz w:val="24"/>
          <w:highlight w:val="none"/>
        </w:rPr>
      </w:pPr>
    </w:p>
    <w:tbl>
      <w:tblPr>
        <w:tblStyle w:val="7"/>
        <w:tblW w:w="13980" w:type="dxa"/>
        <w:tblInd w:w="0" w:type="dxa"/>
        <w:shd w:val="clear" w:color="auto" w:fill="auto"/>
        <w:tblLayout w:type="fixed"/>
        <w:tblCellMar>
          <w:top w:w="0" w:type="dxa"/>
          <w:left w:w="0" w:type="dxa"/>
          <w:bottom w:w="0" w:type="dxa"/>
          <w:right w:w="0" w:type="dxa"/>
        </w:tblCellMar>
      </w:tblPr>
      <w:tblGrid>
        <w:gridCol w:w="1930"/>
        <w:gridCol w:w="612"/>
        <w:gridCol w:w="612"/>
        <w:gridCol w:w="1630"/>
        <w:gridCol w:w="1141"/>
        <w:gridCol w:w="1142"/>
        <w:gridCol w:w="1142"/>
        <w:gridCol w:w="588"/>
        <w:gridCol w:w="588"/>
        <w:gridCol w:w="588"/>
        <w:gridCol w:w="605"/>
        <w:gridCol w:w="605"/>
        <w:gridCol w:w="605"/>
        <w:gridCol w:w="605"/>
        <w:gridCol w:w="605"/>
        <w:gridCol w:w="982"/>
      </w:tblGrid>
      <w:tr>
        <w:tblPrEx>
          <w:tblCellMar>
            <w:top w:w="0" w:type="dxa"/>
            <w:left w:w="0" w:type="dxa"/>
            <w:bottom w:w="0" w:type="dxa"/>
            <w:right w:w="0" w:type="dxa"/>
          </w:tblCellMar>
        </w:tblPrEx>
        <w:trPr>
          <w:trHeight w:val="75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功能分类科目编码</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功能分类科目名称</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总计</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一般公共预算拨款</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    政府性基金预算拨款</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教育收费（财政专户）</w:t>
            </w:r>
          </w:p>
        </w:tc>
        <w:tc>
          <w:tcPr>
            <w:tcW w:w="58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r>
              <w:rPr>
                <w:rFonts w:hint="eastAsia" w:ascii="仿宋_GB2312" w:eastAsia="仿宋_GB2312"/>
                <w:b/>
                <w:color w:val="auto"/>
                <w:sz w:val="20"/>
                <w:szCs w:val="20"/>
                <w:highlight w:val="none"/>
              </w:rPr>
              <w:t>国有资本</w:t>
            </w:r>
            <w:r>
              <w:rPr>
                <w:rFonts w:ascii="仿宋_GB2312" w:eastAsia="仿宋_GB2312"/>
                <w:b/>
                <w:color w:val="auto"/>
                <w:sz w:val="20"/>
                <w:szCs w:val="20"/>
                <w:highlight w:val="none"/>
              </w:rPr>
              <w:t>经营预算</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事业收入</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上级补助收入</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事业单位经营收入</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单位其他资金收入</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上级专项收入</w:t>
            </w:r>
          </w:p>
        </w:tc>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用事业基金弥补收支差额</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单位上年结余（不包含国库集中支付额度结余）</w:t>
            </w:r>
          </w:p>
        </w:tc>
      </w:tr>
      <w:tr>
        <w:tblPrEx>
          <w:tblCellMar>
            <w:top w:w="0" w:type="dxa"/>
            <w:left w:w="0" w:type="dxa"/>
            <w:bottom w:w="0" w:type="dxa"/>
            <w:right w:w="0" w:type="dxa"/>
          </w:tblCellMar>
        </w:tblPrEx>
        <w:trPr>
          <w:trHeight w:val="75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类</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款</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w:t>
            </w: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8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4</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highlight w:val="none"/>
                <w:u w:val="none"/>
                <w:lang w:val="en-US" w:eastAsia="zh-CN" w:bidi="ar"/>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5</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6</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7</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8</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w:t>
            </w: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10</w:t>
            </w: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11</w:t>
            </w:r>
          </w:p>
        </w:tc>
      </w:tr>
      <w:tr>
        <w:tblPrEx>
          <w:tblCellMar>
            <w:top w:w="0" w:type="dxa"/>
            <w:left w:w="0" w:type="dxa"/>
            <w:bottom w:w="0" w:type="dxa"/>
            <w:right w:w="0" w:type="dxa"/>
          </w:tblCellMar>
        </w:tblPrEx>
        <w:trPr>
          <w:trHeight w:val="24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合计</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r>
        <w:tblPrEx>
          <w:tblCellMar>
            <w:top w:w="0" w:type="dxa"/>
            <w:left w:w="0" w:type="dxa"/>
            <w:bottom w:w="0" w:type="dxa"/>
            <w:right w:w="0" w:type="dxa"/>
          </w:tblCellMar>
        </w:tblPrEx>
        <w:trPr>
          <w:trHeight w:val="480" w:hRule="atLeast"/>
        </w:trPr>
        <w:tc>
          <w:tcPr>
            <w:tcW w:w="1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210</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07</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99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其他计划生育事务支出</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highlight w:val="none"/>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2.00 </w:t>
            </w:r>
          </w:p>
        </w:tc>
      </w:tr>
    </w:tbl>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sectPr>
          <w:pgSz w:w="16838" w:h="11906" w:orient="landscape"/>
          <w:pgMar w:top="1080" w:right="1440" w:bottom="1080" w:left="1440" w:header="851" w:footer="992" w:gutter="0"/>
          <w:pgNumType w:fmt="decimal"/>
          <w:cols w:space="720" w:num="1"/>
          <w:docGrid w:linePitch="312" w:charSpace="0"/>
        </w:sect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表三：</w:t>
      </w:r>
    </w:p>
    <w:p>
      <w:pPr>
        <w:widowControl/>
        <w:jc w:val="center"/>
        <w:outlineLvl w:val="1"/>
        <w:rPr>
          <w:rFonts w:hint="eastAsia" w:ascii="仿宋_GB2312" w:hAnsi="宋体" w:eastAsia="仿宋_GB2312"/>
          <w:b/>
          <w:kern w:val="0"/>
          <w:sz w:val="32"/>
          <w:szCs w:val="32"/>
          <w:highlight w:val="none"/>
        </w:rPr>
      </w:pPr>
      <w:r>
        <w:rPr>
          <w:rFonts w:hint="eastAsia" w:ascii="仿宋_GB2312" w:hAnsi="宋体" w:eastAsia="仿宋_GB2312"/>
          <w:b/>
          <w:kern w:val="0"/>
          <w:sz w:val="32"/>
          <w:szCs w:val="32"/>
          <w:highlight w:val="none"/>
        </w:rPr>
        <w:t>部门支出总体情况表</w:t>
      </w:r>
    </w:p>
    <w:p>
      <w:pPr>
        <w:widowControl/>
        <w:jc w:val="center"/>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kern w:val="0"/>
          <w:sz w:val="24"/>
          <w:highlight w:val="none"/>
        </w:rPr>
      </w:pPr>
      <w:r>
        <w:rPr>
          <w:rFonts w:hint="eastAsia" w:ascii="仿宋_GB2312" w:hAnsi="宋体" w:eastAsia="仿宋_GB2312"/>
          <w:kern w:val="0"/>
          <w:sz w:val="24"/>
          <w:highlight w:val="none"/>
        </w:rPr>
        <w:t>编制部门：</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rPr>
        <w:t xml:space="preserve">                                        单位：万元</w:t>
      </w:r>
    </w:p>
    <w:p>
      <w:pPr>
        <w:widowControl/>
        <w:jc w:val="left"/>
        <w:outlineLvl w:val="1"/>
        <w:rPr>
          <w:rFonts w:hint="eastAsia" w:ascii="仿宋_GB2312" w:hAnsi="宋体" w:eastAsia="仿宋_GB2312"/>
          <w:kern w:val="0"/>
          <w:sz w:val="24"/>
          <w:highlight w:val="none"/>
        </w:rPr>
      </w:pPr>
    </w:p>
    <w:tbl>
      <w:tblPr>
        <w:tblStyle w:val="7"/>
        <w:tblW w:w="9776" w:type="dxa"/>
        <w:tblInd w:w="0" w:type="dxa"/>
        <w:shd w:val="clear" w:color="auto" w:fill="auto"/>
        <w:tblLayout w:type="fixed"/>
        <w:tblCellMar>
          <w:top w:w="0" w:type="dxa"/>
          <w:left w:w="0" w:type="dxa"/>
          <w:bottom w:w="0" w:type="dxa"/>
          <w:right w:w="0" w:type="dxa"/>
        </w:tblCellMar>
      </w:tblPr>
      <w:tblGrid>
        <w:gridCol w:w="2781"/>
        <w:gridCol w:w="540"/>
        <w:gridCol w:w="540"/>
        <w:gridCol w:w="1867"/>
        <w:gridCol w:w="1428"/>
        <w:gridCol w:w="1310"/>
        <w:gridCol w:w="1310"/>
      </w:tblGrid>
      <w:tr>
        <w:tblPrEx>
          <w:shd w:val="clear" w:color="auto" w:fill="auto"/>
          <w:tblCellMar>
            <w:top w:w="0" w:type="dxa"/>
            <w:left w:w="0" w:type="dxa"/>
            <w:bottom w:w="0" w:type="dxa"/>
            <w:right w:w="0" w:type="dxa"/>
          </w:tblCellMar>
        </w:tblPrEx>
        <w:trPr>
          <w:trHeight w:val="360" w:hRule="atLeast"/>
        </w:trPr>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支出预算</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功能分类科目编码</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功能分类科目名称</w:t>
            </w:r>
          </w:p>
        </w:tc>
        <w:tc>
          <w:tcPr>
            <w:tcW w:w="14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合      计</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CellMar>
            <w:top w:w="0" w:type="dxa"/>
            <w:left w:w="0" w:type="dxa"/>
            <w:bottom w:w="0" w:type="dxa"/>
            <w:right w:w="0" w:type="dxa"/>
          </w:tblCellMar>
        </w:tblPrEx>
        <w:trPr>
          <w:trHeight w:val="360" w:hRule="atLeast"/>
        </w:trPr>
        <w:tc>
          <w:tcPr>
            <w:tcW w:w="27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类</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款</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w:t>
            </w: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85" w:hRule="atLeast"/>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4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CellMar>
            <w:top w:w="0" w:type="dxa"/>
            <w:left w:w="0" w:type="dxa"/>
            <w:bottom w:w="0" w:type="dxa"/>
            <w:right w:w="0" w:type="dxa"/>
          </w:tblCellMar>
        </w:tblPrEx>
        <w:trPr>
          <w:trHeight w:val="240" w:hRule="atLeast"/>
        </w:trPr>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40" w:hRule="atLeast"/>
        </w:trPr>
        <w:tc>
          <w:tcPr>
            <w:tcW w:w="27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99</w:t>
            </w:r>
          </w:p>
        </w:tc>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其他计划生育事务支出</w:t>
            </w:r>
          </w:p>
        </w:tc>
        <w:tc>
          <w:tcPr>
            <w:tcW w:w="14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27.77 </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bl>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hint="eastAsia" w:ascii="仿宋_GB2312" w:hAnsi="宋体" w:eastAsia="仿宋_GB2312"/>
          <w:kern w:val="0"/>
          <w:sz w:val="24"/>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xml:space="preserve">                    </w:t>
      </w: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spacing w:before="120" w:beforeLines="50"/>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表四：</w:t>
      </w:r>
    </w:p>
    <w:p>
      <w:pPr>
        <w:widowControl/>
        <w:spacing w:before="120" w:beforeLines="50"/>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财政拨款收支预算总体情况表</w:t>
      </w:r>
    </w:p>
    <w:p>
      <w:pPr>
        <w:widowControl/>
        <w:spacing w:before="120" w:beforeLines="50"/>
        <w:outlineLvl w:val="1"/>
        <w:rPr>
          <w:rFonts w:hint="eastAsia" w:ascii="仿宋_GB2312" w:hAnsi="宋体" w:eastAsia="仿宋_GB2312"/>
          <w:b/>
          <w:kern w:val="0"/>
          <w:sz w:val="18"/>
          <w:szCs w:val="18"/>
          <w:highlight w:val="none"/>
        </w:rPr>
      </w:pPr>
      <w:r>
        <w:rPr>
          <w:rFonts w:hint="eastAsia" w:ascii="仿宋_GB2312" w:hAnsi="宋体" w:eastAsia="仿宋_GB2312"/>
          <w:kern w:val="0"/>
          <w:sz w:val="18"/>
          <w:szCs w:val="18"/>
          <w:highlight w:val="none"/>
        </w:rPr>
        <w:t xml:space="preserve">编制部门： </w:t>
      </w:r>
      <w:r>
        <w:rPr>
          <w:rFonts w:hint="eastAsia" w:ascii="仿宋_GB2312" w:hAnsi="宋体" w:eastAsia="仿宋_GB2312"/>
          <w:kern w:val="0"/>
          <w:sz w:val="18"/>
          <w:szCs w:val="18"/>
          <w:highlight w:val="none"/>
          <w:lang w:eastAsia="zh-CN"/>
        </w:rPr>
        <w:t>克孜勒苏柯尔克孜自治州人口和计划生育药具管理站</w:t>
      </w:r>
      <w:r>
        <w:rPr>
          <w:rFonts w:hint="eastAsia" w:ascii="仿宋_GB2312" w:hAnsi="宋体" w:eastAsia="仿宋_GB2312"/>
          <w:kern w:val="0"/>
          <w:sz w:val="18"/>
          <w:szCs w:val="18"/>
          <w:highlight w:val="none"/>
        </w:rPr>
        <w:t xml:space="preserve">                           单位：万元</w:t>
      </w:r>
    </w:p>
    <w:tbl>
      <w:tblPr>
        <w:tblStyle w:val="7"/>
        <w:tblW w:w="9776" w:type="dxa"/>
        <w:tblInd w:w="0" w:type="dxa"/>
        <w:shd w:val="clear" w:color="auto" w:fill="auto"/>
        <w:tblLayout w:type="fixed"/>
        <w:tblCellMar>
          <w:top w:w="0" w:type="dxa"/>
          <w:left w:w="0" w:type="dxa"/>
          <w:bottom w:w="0" w:type="dxa"/>
          <w:right w:w="0" w:type="dxa"/>
        </w:tblCellMar>
      </w:tblPr>
      <w:tblGrid>
        <w:gridCol w:w="2420"/>
        <w:gridCol w:w="489"/>
        <w:gridCol w:w="2420"/>
        <w:gridCol w:w="489"/>
        <w:gridCol w:w="1133"/>
        <w:gridCol w:w="1209"/>
        <w:gridCol w:w="1616"/>
      </w:tblGrid>
      <w:tr>
        <w:tblPrEx>
          <w:shd w:val="clear" w:color="auto" w:fill="auto"/>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财政拨款收入</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财政拨款支出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w:t>
            </w: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功能分类</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一般公共预算</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政府性基金预算</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仿宋_GB2312" w:hAnsi="宋体" w:eastAsia="仿宋_GB2312" w:cs="宋体"/>
                <w:b w:val="0"/>
                <w:bCs/>
                <w:kern w:val="0"/>
                <w:sz w:val="18"/>
                <w:szCs w:val="18"/>
                <w:highlight w:val="none"/>
              </w:rPr>
              <w:t>国有</w:t>
            </w:r>
            <w:r>
              <w:rPr>
                <w:rFonts w:ascii="仿宋_GB2312" w:hAnsi="宋体" w:eastAsia="仿宋_GB2312" w:cs="宋体"/>
                <w:b w:val="0"/>
                <w:bCs/>
                <w:kern w:val="0"/>
                <w:sz w:val="18"/>
                <w:szCs w:val="18"/>
                <w:highlight w:val="none"/>
              </w:rPr>
              <w:t>资本经营预算</w:t>
            </w: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一、财政拨款（补助）</w:t>
            </w: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201 一般公共服务支出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一般公共预算</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202 外交支出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政府性基金预算</w:t>
            </w:r>
          </w:p>
        </w:tc>
        <w:tc>
          <w:tcPr>
            <w:tcW w:w="48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203 国防支出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15"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both"/>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 xml:space="preserve">         </w:t>
            </w: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204 公共安全支出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9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205 教育支出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7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206 科学技术支出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0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207 文化旅游体育与传媒支出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25"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208 社会保障和就业支出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3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209 社会保险基金支出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15"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210 卫生健康支出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15"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211 节能环保支出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7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212 城乡社区支出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0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213 农林水支出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3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214 交通运输支出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0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215 资源勘探工业信息等支出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8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216 商业服务业等支出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4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217 金融支出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4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219 援助其他地区支出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8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220 自然资源海洋气象等支出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2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221 住房保障支出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9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222 粮油物资管理支出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4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223 国有资本经营预算支出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0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224 灾害防治及应急管理支出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3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227 预备费</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225"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229 其他支出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18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231 债务还本支出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232 债务付息支出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233 债务发行费支出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234 抗疫特别国债安排的支出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本  年  收  入  小  计</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本  年  支  出  小  计</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540" w:hRule="atLeast"/>
        </w:trPr>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单位上年结余（不包含国库集中支付额度结余）</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2.00 </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230 转移性支出</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r>
        <w:tblPrEx>
          <w:tblCellMar>
            <w:top w:w="0" w:type="dxa"/>
            <w:left w:w="0" w:type="dxa"/>
            <w:bottom w:w="0" w:type="dxa"/>
            <w:right w:w="0" w:type="dxa"/>
          </w:tblCellMar>
        </w:tblPrEx>
        <w:trPr>
          <w:trHeight w:val="360" w:hRule="atLeast"/>
        </w:trPr>
        <w:tc>
          <w:tcPr>
            <w:tcW w:w="242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收      入      总      计</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2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支   出  总   计</w:t>
            </w:r>
          </w:p>
        </w:tc>
        <w:tc>
          <w:tcPr>
            <w:tcW w:w="4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25.77 </w:t>
            </w:r>
          </w:p>
        </w:tc>
        <w:tc>
          <w:tcPr>
            <w:tcW w:w="12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0.00</w:t>
            </w:r>
          </w:p>
        </w:tc>
        <w:tc>
          <w:tcPr>
            <w:tcW w:w="1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r>
    </w:tbl>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cs="宋体"/>
          <w:b/>
          <w:bCs/>
          <w:color w:val="000000"/>
          <w:kern w:val="0"/>
          <w:sz w:val="32"/>
          <w:szCs w:val="32"/>
          <w:highlight w:val="none"/>
        </w:rPr>
      </w:pPr>
      <w:r>
        <w:rPr>
          <w:rFonts w:hint="eastAsia" w:ascii="仿宋_GB2312" w:hAnsi="宋体" w:eastAsia="仿宋_GB2312"/>
          <w:b/>
          <w:kern w:val="0"/>
          <w:sz w:val="32"/>
          <w:szCs w:val="32"/>
          <w:highlight w:val="none"/>
        </w:rPr>
        <w:t>表五：</w:t>
      </w:r>
    </w:p>
    <w:p>
      <w:pPr>
        <w:widowControl/>
        <w:jc w:val="center"/>
        <w:outlineLvl w:val="1"/>
        <w:rPr>
          <w:rFonts w:hint="eastAsia" w:ascii="仿宋_GB2312" w:hAnsi="宋体" w:eastAsia="仿宋_GB2312"/>
          <w:b/>
          <w:kern w:val="0"/>
          <w:sz w:val="32"/>
          <w:szCs w:val="32"/>
          <w:highlight w:val="none"/>
        </w:rPr>
      </w:pPr>
      <w:r>
        <w:rPr>
          <w:rFonts w:hint="eastAsia" w:ascii="仿宋_GB2312" w:hAnsi="宋体" w:eastAsia="仿宋_GB2312" w:cs="宋体"/>
          <w:b/>
          <w:bCs/>
          <w:color w:val="000000"/>
          <w:kern w:val="0"/>
          <w:sz w:val="32"/>
          <w:szCs w:val="32"/>
          <w:highlight w:val="none"/>
        </w:rPr>
        <w:t>一般公共预算支出情况表</w:t>
      </w:r>
    </w:p>
    <w:p>
      <w:pPr>
        <w:widowControl/>
        <w:spacing w:before="120" w:beforeLines="50"/>
        <w:outlineLvl w:val="1"/>
        <w:rPr>
          <w:rFonts w:hint="eastAsia" w:ascii="仿宋_GB2312" w:hAnsi="宋体" w:eastAsia="仿宋_GB2312"/>
          <w:b/>
          <w:kern w:val="0"/>
          <w:sz w:val="32"/>
          <w:szCs w:val="32"/>
          <w:highlight w:val="none"/>
        </w:rPr>
      </w:pPr>
      <w:r>
        <w:rPr>
          <w:rFonts w:hint="eastAsia" w:ascii="仿宋_GB2312" w:hAnsi="宋体" w:eastAsia="仿宋_GB2312"/>
          <w:kern w:val="0"/>
          <w:sz w:val="28"/>
          <w:szCs w:val="28"/>
          <w:highlight w:val="none"/>
        </w:rPr>
        <w:t xml:space="preserve">编制部门： </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8"/>
          <w:szCs w:val="28"/>
          <w:highlight w:val="none"/>
        </w:rPr>
        <w:t xml:space="preserve">                           单位：万元</w:t>
      </w:r>
    </w:p>
    <w:tbl>
      <w:tblPr>
        <w:tblStyle w:val="7"/>
        <w:tblW w:w="9776" w:type="dxa"/>
        <w:tblInd w:w="0" w:type="dxa"/>
        <w:shd w:val="clear" w:color="auto" w:fill="auto"/>
        <w:tblLayout w:type="fixed"/>
        <w:tblCellMar>
          <w:top w:w="0" w:type="dxa"/>
          <w:left w:w="0" w:type="dxa"/>
          <w:bottom w:w="0" w:type="dxa"/>
          <w:right w:w="0" w:type="dxa"/>
        </w:tblCellMar>
      </w:tblPr>
      <w:tblGrid>
        <w:gridCol w:w="3214"/>
        <w:gridCol w:w="400"/>
        <w:gridCol w:w="400"/>
        <w:gridCol w:w="1721"/>
        <w:gridCol w:w="1630"/>
        <w:gridCol w:w="1206"/>
        <w:gridCol w:w="1205"/>
      </w:tblGrid>
      <w:tr>
        <w:tblPrEx>
          <w:shd w:val="clear" w:color="auto" w:fill="auto"/>
          <w:tblCellMar>
            <w:top w:w="0" w:type="dxa"/>
            <w:left w:w="0" w:type="dxa"/>
            <w:bottom w:w="0" w:type="dxa"/>
            <w:right w:w="0" w:type="dxa"/>
          </w:tblCellMar>
        </w:tblPrEx>
        <w:trPr>
          <w:trHeight w:val="360" w:hRule="atLeast"/>
        </w:trPr>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项目</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一般公共预算支出</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both"/>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功能分类科目编码</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宋体" w:hAnsi="宋体" w:eastAsia="宋体" w:cs="宋体"/>
                <w:i w:val="0"/>
                <w:color w:val="000000"/>
                <w:sz w:val="20"/>
                <w:szCs w:val="20"/>
                <w:highlight w:val="none"/>
                <w:u w:val="none"/>
              </w:rPr>
            </w:pPr>
          </w:p>
        </w:tc>
        <w:tc>
          <w:tcPr>
            <w:tcW w:w="1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功能分类科目名称</w:t>
            </w:r>
          </w:p>
        </w:tc>
        <w:tc>
          <w:tcPr>
            <w:tcW w:w="1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基本支出</w:t>
            </w:r>
          </w:p>
        </w:tc>
        <w:tc>
          <w:tcPr>
            <w:tcW w:w="1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项目支出</w:t>
            </w:r>
          </w:p>
        </w:tc>
      </w:tr>
      <w:tr>
        <w:tblPrEx>
          <w:tblCellMar>
            <w:top w:w="0" w:type="dxa"/>
            <w:left w:w="0" w:type="dxa"/>
            <w:bottom w:w="0" w:type="dxa"/>
            <w:right w:w="0" w:type="dxa"/>
          </w:tblCellMar>
        </w:tblPrEx>
        <w:trPr>
          <w:trHeight w:val="360" w:hRule="atLeast"/>
        </w:trPr>
        <w:tc>
          <w:tcPr>
            <w:tcW w:w="32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类</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款</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项</w:t>
            </w: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85" w:hRule="atLeast"/>
        </w:trPr>
        <w:tc>
          <w:tcPr>
            <w:tcW w:w="32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360" w:hRule="atLeast"/>
        </w:trPr>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CellMar>
            <w:top w:w="0" w:type="dxa"/>
            <w:left w:w="0" w:type="dxa"/>
            <w:bottom w:w="0" w:type="dxa"/>
            <w:right w:w="0" w:type="dxa"/>
          </w:tblCellMar>
        </w:tblPrEx>
        <w:trPr>
          <w:trHeight w:val="240" w:hRule="atLeast"/>
        </w:trPr>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highlight w:val="none"/>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highlight w:val="none"/>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合计</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r>
        <w:tblPrEx>
          <w:tblCellMar>
            <w:top w:w="0" w:type="dxa"/>
            <w:left w:w="0" w:type="dxa"/>
            <w:bottom w:w="0" w:type="dxa"/>
            <w:right w:w="0" w:type="dxa"/>
          </w:tblCellMar>
        </w:tblPrEx>
        <w:trPr>
          <w:trHeight w:val="240" w:hRule="atLeast"/>
        </w:trPr>
        <w:tc>
          <w:tcPr>
            <w:tcW w:w="3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210</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07</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99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其他计划生育事务支出</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2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 xml:space="preserve">25.77 </w:t>
            </w:r>
          </w:p>
        </w:tc>
        <w:tc>
          <w:tcPr>
            <w:tcW w:w="1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r>
    </w:tbl>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spacing w:before="120" w:beforeLines="50"/>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表六：</w:t>
      </w:r>
    </w:p>
    <w:tbl>
      <w:tblPr>
        <w:tblStyle w:val="7"/>
        <w:tblW w:w="86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975"/>
        <w:gridCol w:w="2355"/>
        <w:gridCol w:w="1800"/>
        <w:gridCol w:w="165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685" w:type="dxa"/>
            <w:gridSpan w:val="6"/>
            <w:shd w:val="clear" w:color="auto" w:fill="auto"/>
            <w:vAlign w:val="center"/>
          </w:tcPr>
          <w:p>
            <w:pPr>
              <w:jc w:val="center"/>
              <w:rPr>
                <w:rFonts w:hint="eastAsia" w:ascii="宋体" w:hAnsi="宋体" w:eastAsia="宋体" w:cs="宋体"/>
                <w:b/>
                <w:i w:val="0"/>
                <w:color w:val="000000"/>
                <w:sz w:val="32"/>
                <w:szCs w:val="32"/>
                <w:highlight w:val="none"/>
                <w:u w:val="none"/>
              </w:rPr>
            </w:pPr>
            <w:r>
              <w:rPr>
                <w:rFonts w:hint="eastAsia" w:ascii="宋体" w:hAnsi="宋体" w:eastAsia="宋体" w:cs="宋体"/>
                <w:b/>
                <w:i w:val="0"/>
                <w:color w:val="000000"/>
                <w:kern w:val="0"/>
                <w:sz w:val="32"/>
                <w:szCs w:val="32"/>
                <w:highlight w:val="none"/>
                <w:u w:val="none"/>
                <w:lang w:val="en-US" w:eastAsia="zh-CN" w:bidi="ar"/>
              </w:rPr>
              <w:t>一般公共预算基本支出情况表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rPr>
        <w:tc>
          <w:tcPr>
            <w:tcW w:w="8685" w:type="dxa"/>
            <w:gridSpan w:val="6"/>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仿宋_GB2312" w:hAnsi="宋体" w:eastAsia="仿宋_GB2312" w:cs="宋体"/>
                <w:color w:val="000000"/>
                <w:kern w:val="0"/>
                <w:sz w:val="24"/>
                <w:highlight w:val="none"/>
              </w:rPr>
              <w:t>编制部门：</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lang w:val="en-US" w:eastAsia="zh-CN"/>
              </w:rPr>
              <w:t xml:space="preserve">                                      </w:t>
            </w:r>
            <w:r>
              <w:rPr>
                <w:rFonts w:hint="eastAsia" w:ascii="宋体" w:hAnsi="宋体" w:eastAsia="宋体" w:cs="宋体"/>
                <w:i w:val="0"/>
                <w:color w:val="000000"/>
                <w:kern w:val="0"/>
                <w:sz w:val="20"/>
                <w:szCs w:val="20"/>
                <w:highlight w:val="none"/>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经济分类科目编码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highlight w:val="none"/>
                <w:u w:val="none"/>
              </w:rPr>
            </w:pP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经济分类科目名称</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小计</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一般公共预算支出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类</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款</w:t>
            </w: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人员经费</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080"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97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2355"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w:t>
            </w:r>
          </w:p>
        </w:tc>
        <w:tc>
          <w:tcPr>
            <w:tcW w:w="180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1</w:t>
            </w:r>
          </w:p>
        </w:tc>
        <w:tc>
          <w:tcPr>
            <w:tcW w:w="16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w:t>
            </w:r>
          </w:p>
        </w:tc>
        <w:tc>
          <w:tcPr>
            <w:tcW w:w="82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30112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其他社会保障缴费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1.96</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1.96</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30207</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邮电费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0.24</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30102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津贴补贴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9.40</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9.40</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tabs>
                <w:tab w:val="center" w:pos="472"/>
              </w:tabs>
              <w:jc w:val="left"/>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bidi="ar"/>
              </w:rPr>
              <w:t>302</w:t>
            </w:r>
            <w:r>
              <w:rPr>
                <w:rFonts w:hint="eastAsia" w:ascii="宋体" w:hAnsi="宋体" w:cs="宋体"/>
                <w:i w:val="0"/>
                <w:color w:val="000000"/>
                <w:kern w:val="0"/>
                <w:sz w:val="18"/>
                <w:szCs w:val="18"/>
                <w:highlight w:val="none"/>
                <w:u w:val="none"/>
                <w:lang w:val="en-US" w:eastAsia="zh-CN" w:bidi="ar"/>
              </w:rPr>
              <w:t>02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印刷费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0.30</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30103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奖金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0.62</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0.62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30101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基本工资</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5.91</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5.91</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30108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机关事业单位基本养老保险缴费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2.18</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2.18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30201</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0.46</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30113</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住房公积金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1.57</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1.57</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30229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0.16</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bidi="ar"/>
              </w:rPr>
              <w:t>30</w:t>
            </w:r>
            <w:r>
              <w:rPr>
                <w:rFonts w:hint="eastAsia" w:ascii="宋体" w:hAnsi="宋体" w:cs="宋体"/>
                <w:i w:val="0"/>
                <w:color w:val="000000"/>
                <w:kern w:val="0"/>
                <w:sz w:val="18"/>
                <w:szCs w:val="18"/>
                <w:highlight w:val="none"/>
                <w:u w:val="none"/>
                <w:lang w:val="en-US" w:eastAsia="zh-CN" w:bidi="ar"/>
              </w:rPr>
              <w:t>3</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rPr>
            </w:pPr>
            <w:r>
              <w:rPr>
                <w:rFonts w:hint="eastAsia" w:ascii="宋体" w:hAnsi="宋体" w:eastAsia="宋体" w:cs="宋体"/>
                <w:i w:val="0"/>
                <w:color w:val="000000"/>
                <w:kern w:val="0"/>
                <w:sz w:val="18"/>
                <w:szCs w:val="18"/>
                <w:highlight w:val="none"/>
                <w:u w:val="none"/>
                <w:lang w:val="en-US" w:eastAsia="zh-CN" w:bidi="ar"/>
              </w:rPr>
              <w:t>3</w:t>
            </w:r>
            <w:r>
              <w:rPr>
                <w:rFonts w:hint="eastAsia" w:ascii="宋体" w:hAnsi="宋体" w:cs="宋体"/>
                <w:i w:val="0"/>
                <w:color w:val="000000"/>
                <w:kern w:val="0"/>
                <w:sz w:val="18"/>
                <w:szCs w:val="18"/>
                <w:highlight w:val="none"/>
                <w:u w:val="none"/>
                <w:lang w:val="en-US" w:eastAsia="zh-CN" w:bidi="ar"/>
              </w:rPr>
              <w:t>0309</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cs="宋体"/>
                <w:i w:val="0"/>
                <w:color w:val="000000"/>
                <w:kern w:val="0"/>
                <w:sz w:val="18"/>
                <w:szCs w:val="18"/>
                <w:highlight w:val="none"/>
                <w:u w:val="none"/>
                <w:lang w:val="en-US" w:eastAsia="zh-CN" w:bidi="ar"/>
              </w:rPr>
              <w:t>奖励金</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0.29</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0.29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30228</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工会经费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0.09</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303</w:t>
            </w:r>
          </w:p>
        </w:tc>
        <w:tc>
          <w:tcPr>
            <w:tcW w:w="9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30302</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退休费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2.19</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r>
              <w:rPr>
                <w:rFonts w:hint="eastAsia" w:ascii="宋体" w:hAnsi="宋体" w:cs="宋体"/>
                <w:i w:val="0"/>
                <w:color w:val="000000"/>
                <w:sz w:val="20"/>
                <w:szCs w:val="20"/>
                <w:highlight w:val="none"/>
                <w:u w:val="none"/>
                <w:lang w:val="en-US" w:eastAsia="zh-CN"/>
              </w:rPr>
              <w:t>2.19</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080" w:type="dxa"/>
            <w:tcBorders>
              <w:top w:val="single" w:color="000000" w:sz="4" w:space="0"/>
              <w:left w:val="single" w:color="000000" w:sz="4" w:space="0"/>
              <w:bottom w:val="single" w:color="000000" w:sz="4" w:space="0"/>
            </w:tcBorders>
            <w:shd w:val="clear" w:color="auto" w:fill="auto"/>
            <w:vAlign w:val="center"/>
          </w:tcPr>
          <w:p>
            <w:pPr>
              <w:jc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302</w:t>
            </w:r>
          </w:p>
        </w:tc>
        <w:tc>
          <w:tcPr>
            <w:tcW w:w="975" w:type="dxa"/>
            <w:tcBorders>
              <w:top w:val="single" w:color="000000" w:sz="4" w:space="0"/>
              <w:left w:val="single" w:color="000000" w:sz="4" w:space="0"/>
              <w:bottom w:val="single" w:color="000000" w:sz="4" w:space="0"/>
            </w:tcBorders>
            <w:shd w:val="clear" w:color="auto" w:fill="auto"/>
            <w:vAlign w:val="center"/>
          </w:tcPr>
          <w:p>
            <w:pPr>
              <w:jc w:val="left"/>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30216</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highlight w:val="none"/>
                <w:u w:val="none"/>
                <w:lang w:val="en-US" w:eastAsia="zh-CN"/>
              </w:rPr>
            </w:pPr>
            <w:r>
              <w:rPr>
                <w:rFonts w:hint="eastAsia" w:ascii="宋体" w:hAnsi="宋体" w:cs="宋体"/>
                <w:i w:val="0"/>
                <w:color w:val="000000"/>
                <w:sz w:val="18"/>
                <w:szCs w:val="18"/>
                <w:highlight w:val="none"/>
                <w:u w:val="none"/>
                <w:lang w:val="en-US" w:eastAsia="zh-CN"/>
              </w:rPr>
              <w:t>培训费</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highlight w:val="none"/>
                <w:u w:val="none"/>
                <w:lang w:val="en-US" w:eastAsia="zh-CN"/>
              </w:rPr>
            </w:pPr>
            <w:r>
              <w:rPr>
                <w:rFonts w:hint="eastAsia" w:ascii="宋体" w:hAnsi="宋体" w:cs="宋体"/>
                <w:b/>
                <w:bCs/>
                <w:i w:val="0"/>
                <w:color w:val="000000"/>
                <w:sz w:val="20"/>
                <w:szCs w:val="20"/>
                <w:highlight w:val="none"/>
                <w:u w:val="none"/>
                <w:lang w:val="en-US" w:eastAsia="zh-CN"/>
              </w:rPr>
              <w:t>0.40</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0"/>
                <w:szCs w:val="20"/>
                <w:highlight w:val="none"/>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highlight w:val="none"/>
                <w:u w:val="none"/>
                <w:lang w:val="en-US" w:eastAsia="zh-CN"/>
              </w:rPr>
            </w:pPr>
            <w:r>
              <w:rPr>
                <w:rFonts w:hint="eastAsia" w:ascii="宋体" w:hAnsi="宋体" w:cs="宋体"/>
                <w:b/>
                <w:bCs/>
                <w:i w:val="0"/>
                <w:color w:val="000000"/>
                <w:sz w:val="20"/>
                <w:szCs w:val="20"/>
                <w:highlight w:val="none"/>
                <w:u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5" w:hRule="atLeast"/>
        </w:trPr>
        <w:tc>
          <w:tcPr>
            <w:tcW w:w="108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8"/>
                <w:szCs w:val="18"/>
                <w:highlight w:val="none"/>
                <w:u w:val="none"/>
              </w:rPr>
            </w:pPr>
          </w:p>
        </w:tc>
        <w:tc>
          <w:tcPr>
            <w:tcW w:w="975" w:type="dxa"/>
            <w:tcBorders>
              <w:top w:val="single" w:color="000000" w:sz="4" w:space="0"/>
              <w:left w:val="single" w:color="000000" w:sz="4" w:space="0"/>
              <w:bottom w:val="single" w:color="000000" w:sz="4" w:space="0"/>
            </w:tcBorders>
            <w:shd w:val="clear" w:color="auto" w:fill="auto"/>
            <w:vAlign w:val="center"/>
          </w:tcPr>
          <w:p>
            <w:pPr>
              <w:jc w:val="left"/>
              <w:rPr>
                <w:rFonts w:hint="eastAsia" w:ascii="宋体" w:hAnsi="宋体" w:eastAsia="宋体" w:cs="宋体"/>
                <w:i w:val="0"/>
                <w:color w:val="000000"/>
                <w:sz w:val="18"/>
                <w:szCs w:val="18"/>
                <w:highlight w:val="none"/>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合计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highlight w:val="none"/>
                <w:u w:val="none"/>
                <w:lang w:val="en-US" w:eastAsia="zh-CN"/>
              </w:rPr>
            </w:pPr>
            <w:r>
              <w:rPr>
                <w:rFonts w:hint="eastAsia" w:ascii="宋体" w:hAnsi="宋体" w:cs="宋体"/>
                <w:b/>
                <w:bCs/>
                <w:i w:val="0"/>
                <w:color w:val="000000"/>
                <w:sz w:val="20"/>
                <w:szCs w:val="20"/>
                <w:highlight w:val="none"/>
                <w:u w:val="none"/>
                <w:lang w:val="en-US" w:eastAsia="zh-CN"/>
              </w:rPr>
              <w:t>25.77</w:t>
            </w:r>
          </w:p>
        </w:tc>
        <w:tc>
          <w:tcPr>
            <w:tcW w:w="165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highlight w:val="none"/>
                <w:u w:val="none"/>
                <w:lang w:val="en-US" w:eastAsia="zh-CN"/>
              </w:rPr>
            </w:pPr>
            <w:r>
              <w:rPr>
                <w:rFonts w:hint="eastAsia" w:ascii="宋体" w:hAnsi="宋体" w:cs="宋体"/>
                <w:b/>
                <w:bCs/>
                <w:i w:val="0"/>
                <w:color w:val="000000"/>
                <w:sz w:val="20"/>
                <w:szCs w:val="20"/>
                <w:highlight w:val="none"/>
                <w:u w:val="none"/>
                <w:lang w:val="en-US" w:eastAsia="zh-CN"/>
              </w:rPr>
              <w:t>24.12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color w:val="000000"/>
                <w:sz w:val="20"/>
                <w:szCs w:val="20"/>
                <w:highlight w:val="none"/>
                <w:u w:val="none"/>
                <w:lang w:val="en-US" w:eastAsia="zh-CN"/>
              </w:rPr>
            </w:pPr>
            <w:r>
              <w:rPr>
                <w:rFonts w:hint="eastAsia" w:ascii="宋体" w:hAnsi="宋体" w:cs="宋体"/>
                <w:b/>
                <w:bCs/>
                <w:i w:val="0"/>
                <w:color w:val="000000"/>
                <w:sz w:val="20"/>
                <w:szCs w:val="20"/>
                <w:highlight w:val="none"/>
                <w:u w:val="none"/>
                <w:lang w:val="en-US" w:eastAsia="zh-CN"/>
              </w:rPr>
              <w:t>1.65</w:t>
            </w:r>
          </w:p>
        </w:tc>
      </w:tr>
    </w:tbl>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hint="eastAsia" w:ascii="仿宋_GB2312" w:hAnsi="宋体" w:eastAsia="仿宋_GB2312"/>
          <w:b/>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编制部门：</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lang w:val="en-US" w:eastAsia="zh-CN"/>
              </w:rPr>
              <w:t xml:space="preserve"> </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科目</w:t>
            </w:r>
          </w:p>
        </w:tc>
        <w:tc>
          <w:tcPr>
            <w:tcW w:w="1456" w:type="dxa"/>
            <w:vMerge w:val="restart"/>
            <w:shd w:val="clear" w:color="auto" w:fill="auto"/>
            <w:vAlign w:val="center"/>
          </w:tcPr>
          <w:p>
            <w:pPr>
              <w:jc w:val="center"/>
              <w:rPr>
                <w:rFonts w:ascii="Calibri" w:hAnsi="Calibri"/>
                <w:sz w:val="24"/>
                <w:highlight w:val="none"/>
              </w:rPr>
            </w:pPr>
            <w:r>
              <w:rPr>
                <w:rFonts w:hint="eastAsia" w:ascii="仿宋_GB2312" w:hAnsi="宋体" w:eastAsia="仿宋_GB2312"/>
                <w:b/>
                <w:kern w:val="0"/>
                <w:sz w:val="24"/>
                <w:highlight w:val="none"/>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r>
              <w:rPr>
                <w:rFonts w:hint="eastAsia" w:ascii="仿宋_GB2312" w:hAnsi="宋体" w:eastAsia="仿宋_GB2312"/>
                <w:b/>
                <w:kern w:val="0"/>
                <w:sz w:val="18"/>
                <w:szCs w:val="18"/>
                <w:highlight w:val="none"/>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highlight w:val="none"/>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397" w:type="dxa"/>
            <w:shd w:val="clear" w:color="auto" w:fill="auto"/>
          </w:tcPr>
          <w:p>
            <w:pPr>
              <w:widowControl/>
              <w:jc w:val="left"/>
              <w:outlineLvl w:val="1"/>
              <w:rPr>
                <w:rFonts w:ascii="仿宋_GB2312" w:hAnsi="宋体" w:eastAsia="仿宋_GB2312"/>
                <w:kern w:val="0"/>
                <w:sz w:val="32"/>
                <w:szCs w:val="32"/>
                <w:highlight w:val="none"/>
              </w:rPr>
            </w:pPr>
          </w:p>
        </w:tc>
        <w:tc>
          <w:tcPr>
            <w:tcW w:w="397" w:type="dxa"/>
            <w:shd w:val="clear" w:color="auto" w:fill="auto"/>
          </w:tcPr>
          <w:p>
            <w:pPr>
              <w:widowControl/>
              <w:jc w:val="left"/>
              <w:outlineLvl w:val="1"/>
              <w:rPr>
                <w:rFonts w:ascii="仿宋_GB2312" w:hAnsi="宋体" w:eastAsia="仿宋_GB2312"/>
                <w:kern w:val="0"/>
                <w:sz w:val="32"/>
                <w:szCs w:val="32"/>
                <w:highlight w:val="none"/>
              </w:rPr>
            </w:pPr>
          </w:p>
        </w:tc>
        <w:tc>
          <w:tcPr>
            <w:tcW w:w="851" w:type="dxa"/>
            <w:shd w:val="clear" w:color="auto" w:fill="auto"/>
          </w:tcPr>
          <w:p>
            <w:pPr>
              <w:widowControl/>
              <w:jc w:val="left"/>
              <w:outlineLvl w:val="1"/>
              <w:rPr>
                <w:rFonts w:ascii="仿宋_GB2312" w:hAnsi="宋体" w:eastAsia="仿宋_GB2312"/>
                <w:kern w:val="0"/>
                <w:sz w:val="32"/>
                <w:szCs w:val="32"/>
                <w:highlight w:val="none"/>
              </w:rPr>
            </w:pPr>
          </w:p>
        </w:tc>
        <w:tc>
          <w:tcPr>
            <w:tcW w:w="1456" w:type="dxa"/>
            <w:shd w:val="clear" w:color="auto" w:fill="auto"/>
          </w:tcPr>
          <w:p>
            <w:pPr>
              <w:widowControl/>
              <w:jc w:val="left"/>
              <w:outlineLvl w:val="1"/>
              <w:rPr>
                <w:rFonts w:ascii="仿宋_GB2312" w:hAnsi="宋体" w:eastAsia="仿宋_GB2312"/>
                <w:kern w:val="0"/>
                <w:sz w:val="32"/>
                <w:szCs w:val="32"/>
                <w:highlight w:val="none"/>
              </w:rPr>
            </w:pPr>
          </w:p>
        </w:tc>
        <w:tc>
          <w:tcPr>
            <w:tcW w:w="750" w:type="dxa"/>
            <w:shd w:val="clear" w:color="auto" w:fill="auto"/>
          </w:tcPr>
          <w:p>
            <w:pPr>
              <w:widowControl/>
              <w:jc w:val="left"/>
              <w:outlineLvl w:val="1"/>
              <w:rPr>
                <w:rFonts w:ascii="仿宋_GB2312" w:hAnsi="宋体" w:eastAsia="仿宋_GB2312"/>
                <w:kern w:val="0"/>
                <w:sz w:val="32"/>
                <w:szCs w:val="32"/>
                <w:highlight w:val="none"/>
              </w:rPr>
            </w:pP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536" w:type="dxa"/>
            <w:shd w:val="clear" w:color="auto" w:fill="auto"/>
          </w:tcPr>
          <w:p>
            <w:pPr>
              <w:widowControl/>
              <w:jc w:val="left"/>
              <w:outlineLvl w:val="1"/>
              <w:rPr>
                <w:rFonts w:ascii="仿宋_GB2312" w:hAnsi="宋体" w:eastAsia="仿宋_GB2312"/>
                <w:kern w:val="0"/>
                <w:sz w:val="32"/>
                <w:szCs w:val="32"/>
                <w:highlight w:val="none"/>
              </w:rPr>
            </w:pPr>
          </w:p>
        </w:tc>
        <w:tc>
          <w:tcPr>
            <w:tcW w:w="652" w:type="dxa"/>
            <w:shd w:val="clear" w:color="auto" w:fill="auto"/>
          </w:tcPr>
          <w:p>
            <w:pPr>
              <w:widowControl/>
              <w:jc w:val="left"/>
              <w:outlineLvl w:val="1"/>
              <w:rPr>
                <w:rFonts w:ascii="仿宋_GB2312" w:hAnsi="宋体" w:eastAsia="仿宋_GB2312"/>
                <w:kern w:val="0"/>
                <w:sz w:val="32"/>
                <w:szCs w:val="32"/>
                <w:highlight w:val="none"/>
              </w:rPr>
            </w:pPr>
          </w:p>
        </w:tc>
        <w:tc>
          <w:tcPr>
            <w:tcW w:w="652" w:type="dxa"/>
            <w:shd w:val="clear" w:color="auto" w:fill="auto"/>
          </w:tcPr>
          <w:p>
            <w:pPr>
              <w:widowControl/>
              <w:jc w:val="left"/>
              <w:outlineLvl w:val="1"/>
              <w:rPr>
                <w:rFonts w:ascii="仿宋_GB2312" w:hAnsi="宋体" w:eastAsia="仿宋_GB2312"/>
                <w:kern w:val="0"/>
                <w:sz w:val="32"/>
                <w:szCs w:val="32"/>
                <w:highlight w:val="none"/>
              </w:rPr>
            </w:pP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p>
        </w:tc>
        <w:tc>
          <w:tcPr>
            <w:tcW w:w="419" w:type="dxa"/>
            <w:shd w:val="clear" w:color="auto" w:fill="auto"/>
          </w:tcPr>
          <w:p>
            <w:pPr>
              <w:widowControl/>
              <w:jc w:val="left"/>
              <w:outlineLvl w:val="1"/>
              <w:rPr>
                <w:rFonts w:ascii="仿宋_GB2312" w:hAnsi="宋体" w:eastAsia="仿宋_GB2312"/>
                <w:kern w:val="0"/>
                <w:sz w:val="32"/>
                <w:szCs w:val="32"/>
                <w:highlight w:val="none"/>
              </w:rPr>
            </w:pPr>
          </w:p>
        </w:tc>
        <w:tc>
          <w:tcPr>
            <w:tcW w:w="578" w:type="dxa"/>
            <w:shd w:val="clear" w:color="auto" w:fill="auto"/>
          </w:tcPr>
          <w:p>
            <w:pPr>
              <w:widowControl/>
              <w:jc w:val="left"/>
              <w:outlineLvl w:val="1"/>
              <w:rPr>
                <w:rFonts w:ascii="仿宋_GB2312" w:hAnsi="宋体" w:eastAsia="仿宋_GB2312"/>
                <w:kern w:val="0"/>
                <w:sz w:val="32"/>
                <w:szCs w:val="32"/>
                <w:highlight w:val="none"/>
              </w:rPr>
            </w:pPr>
          </w:p>
        </w:tc>
        <w:tc>
          <w:tcPr>
            <w:tcW w:w="420" w:type="dxa"/>
            <w:shd w:val="clear" w:color="auto" w:fill="auto"/>
          </w:tcPr>
          <w:p>
            <w:pPr>
              <w:widowControl/>
              <w:jc w:val="left"/>
              <w:outlineLvl w:val="1"/>
              <w:rPr>
                <w:rFonts w:ascii="仿宋_GB2312" w:hAnsi="宋体" w:eastAsia="仿宋_GB2312"/>
                <w:kern w:val="0"/>
                <w:sz w:val="32"/>
                <w:szCs w:val="32"/>
                <w:highlight w:val="none"/>
              </w:rPr>
            </w:pPr>
          </w:p>
        </w:tc>
        <w:tc>
          <w:tcPr>
            <w:tcW w:w="420" w:type="dxa"/>
            <w:shd w:val="clear" w:color="auto" w:fill="auto"/>
          </w:tcPr>
          <w:p>
            <w:pPr>
              <w:widowControl/>
              <w:jc w:val="left"/>
              <w:outlineLvl w:val="1"/>
              <w:rPr>
                <w:rFonts w:ascii="仿宋_GB2312" w:hAnsi="宋体" w:eastAsia="仿宋_GB2312"/>
                <w:kern w:val="0"/>
                <w:sz w:val="32"/>
                <w:szCs w:val="32"/>
                <w:highlight w:val="none"/>
              </w:rPr>
            </w:pP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75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397"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851"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1456" w:type="dxa"/>
            <w:shd w:val="clear" w:color="auto" w:fill="auto"/>
            <w:vAlign w:val="center"/>
          </w:tcPr>
          <w:p>
            <w:pPr>
              <w:widowControl/>
              <w:jc w:val="center"/>
              <w:outlineLvl w:val="1"/>
              <w:rPr>
                <w:rFonts w:ascii="仿宋_GB2312" w:hAnsi="宋体" w:eastAsia="仿宋_GB2312"/>
                <w:kern w:val="0"/>
                <w:sz w:val="32"/>
                <w:szCs w:val="32"/>
                <w:highlight w:val="none"/>
              </w:rPr>
            </w:pPr>
            <w:r>
              <w:rPr>
                <w:rFonts w:hint="eastAsia" w:ascii="仿宋_GB2312" w:hAnsi="宋体" w:eastAsia="仿宋_GB2312"/>
                <w:kern w:val="0"/>
                <w:szCs w:val="21"/>
                <w:highlight w:val="none"/>
              </w:rPr>
              <w:t>合计</w:t>
            </w:r>
          </w:p>
        </w:tc>
        <w:tc>
          <w:tcPr>
            <w:tcW w:w="750" w:type="dxa"/>
            <w:shd w:val="clear" w:color="auto" w:fill="auto"/>
            <w:vAlign w:val="center"/>
          </w:tcPr>
          <w:p>
            <w:pPr>
              <w:widowControl/>
              <w:jc w:val="center"/>
              <w:outlineLvl w:val="1"/>
              <w:rPr>
                <w:rFonts w:ascii="仿宋_GB2312" w:hAnsi="宋体" w:eastAsia="仿宋_GB2312"/>
                <w:kern w:val="0"/>
                <w:szCs w:val="21"/>
                <w:highlight w:val="none"/>
              </w:rPr>
            </w:pPr>
          </w:p>
        </w:tc>
        <w:tc>
          <w:tcPr>
            <w:tcW w:w="569"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36"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652"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19"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578"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20" w:type="dxa"/>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c>
          <w:tcPr>
            <w:tcW w:w="468" w:type="dxa"/>
            <w:gridSpan w:val="2"/>
            <w:shd w:val="clear" w:color="auto" w:fill="auto"/>
          </w:tcPr>
          <w:p>
            <w:pPr>
              <w:widowControl/>
              <w:jc w:val="left"/>
              <w:outlineLvl w:val="1"/>
              <w:rPr>
                <w:rFonts w:ascii="仿宋_GB2312" w:hAnsi="宋体" w:eastAsia="仿宋_GB2312"/>
                <w:kern w:val="0"/>
                <w:sz w:val="32"/>
                <w:szCs w:val="32"/>
                <w:highlight w:val="none"/>
              </w:rPr>
            </w:pPr>
            <w:r>
              <w:rPr>
                <w:rFonts w:hint="eastAsia" w:ascii="仿宋_GB2312" w:hAnsi="宋体" w:eastAsia="仿宋_GB2312"/>
                <w:kern w:val="0"/>
                <w:sz w:val="32"/>
                <w:szCs w:val="32"/>
                <w:highlight w:val="none"/>
              </w:rPr>
              <w:t>　</w:t>
            </w:r>
          </w:p>
        </w:tc>
      </w:tr>
    </w:tbl>
    <w:p>
      <w:pPr>
        <w:outlineLvl w:val="1"/>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b/>
          <w:kern w:val="0"/>
          <w:sz w:val="28"/>
          <w:szCs w:val="32"/>
          <w:highlight w:val="none"/>
        </w:rPr>
        <w:t>备注：</w:t>
      </w:r>
      <w:r>
        <w:rPr>
          <w:rFonts w:hint="eastAsia" w:ascii="仿宋_GB2312" w:hAnsi="宋体" w:eastAsia="仿宋_GB2312" w:cs="宋体"/>
          <w:color w:val="000000"/>
          <w:kern w:val="0"/>
          <w:sz w:val="24"/>
          <w:highlight w:val="none"/>
          <w:lang w:eastAsia="zh-CN"/>
        </w:rPr>
        <w:t>克孜勒苏柯尔克孜自治州人口和计划生育药具管理站</w:t>
      </w:r>
      <w:r>
        <w:rPr>
          <w:rFonts w:hint="eastAsia" w:ascii="仿宋_GB2312" w:hAnsi="宋体" w:eastAsia="仿宋_GB2312" w:cs="宋体"/>
          <w:color w:val="000000"/>
          <w:kern w:val="0"/>
          <w:sz w:val="24"/>
          <w:highlight w:val="none"/>
          <w:lang w:val="en-US" w:eastAsia="zh-CN"/>
        </w:rPr>
        <w:t>2021年度没有安排项目预算。</w:t>
      </w: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表八：</w:t>
      </w:r>
    </w:p>
    <w:p>
      <w:pPr>
        <w:widowControl/>
        <w:jc w:val="left"/>
        <w:outlineLvl w:val="1"/>
        <w:rPr>
          <w:rFonts w:ascii="仿宋_GB2312" w:hAnsi="宋体" w:eastAsia="仿宋_GB2312"/>
          <w:b/>
          <w:kern w:val="0"/>
          <w:sz w:val="32"/>
          <w:szCs w:val="32"/>
          <w:highlight w:val="none"/>
        </w:rPr>
      </w:pP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一般公共预算“三公”经费支出情况表</w:t>
      </w:r>
    </w:p>
    <w:p>
      <w:pPr>
        <w:widowControl/>
        <w:jc w:val="center"/>
        <w:outlineLvl w:val="1"/>
        <w:rPr>
          <w:rFonts w:ascii="仿宋_GB2312" w:hAnsi="宋体" w:eastAsia="仿宋_GB2312"/>
          <w:b/>
          <w:kern w:val="0"/>
          <w:sz w:val="32"/>
          <w:szCs w:val="32"/>
          <w:highlight w:val="none"/>
        </w:rPr>
      </w:pPr>
    </w:p>
    <w:p>
      <w:pPr>
        <w:widowControl/>
        <w:jc w:val="left"/>
        <w:outlineLvl w:val="1"/>
        <w:rPr>
          <w:rFonts w:ascii="仿宋_GB2312" w:hAnsi="宋体" w:eastAsia="仿宋_GB2312"/>
          <w:kern w:val="0"/>
          <w:sz w:val="24"/>
          <w:highlight w:val="none"/>
        </w:rPr>
      </w:pPr>
      <w:r>
        <w:rPr>
          <w:rFonts w:hint="eastAsia" w:ascii="仿宋_GB2312" w:hAnsi="宋体" w:eastAsia="仿宋_GB2312"/>
          <w:kern w:val="0"/>
          <w:sz w:val="24"/>
          <w:highlight w:val="none"/>
        </w:rPr>
        <w:t xml:space="preserve">编制单位： </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lang w:val="en-US" w:eastAsia="zh-CN"/>
        </w:rPr>
        <w:t xml:space="preserve"> </w:t>
      </w:r>
      <w:r>
        <w:rPr>
          <w:rFonts w:hint="eastAsia" w:ascii="仿宋_GB2312" w:hAnsi="宋体" w:eastAsia="仿宋_GB2312"/>
          <w:kern w:val="0"/>
          <w:sz w:val="24"/>
          <w:highlight w:val="none"/>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highlight w:val="none"/>
              </w:rPr>
            </w:pPr>
            <w:r>
              <w:rPr>
                <w:rFonts w:hint="eastAsia" w:ascii="宋体" w:hAnsi="宋体" w:cs="宋体"/>
                <w:b/>
                <w:bCs/>
                <w:color w:val="000000"/>
                <w:kern w:val="0"/>
                <w:sz w:val="22"/>
                <w:szCs w:val="22"/>
                <w:highlight w:val="none"/>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highlight w:val="none"/>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highlight w:val="none"/>
              </w:rPr>
            </w:pPr>
            <w:r>
              <w:rPr>
                <w:rFonts w:hint="eastAsia" w:ascii="仿宋_GB2312" w:hAnsi="宋体" w:eastAsia="仿宋_GB2312" w:cs="宋体"/>
                <w:b/>
                <w:bCs/>
                <w:color w:val="000000"/>
                <w:kern w:val="0"/>
                <w:sz w:val="22"/>
                <w:szCs w:val="22"/>
                <w:highlight w:val="none"/>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highlight w:val="none"/>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r>
    </w:tbl>
    <w:p>
      <w:pPr>
        <w:outlineLvl w:val="1"/>
        <w:rPr>
          <w:rFonts w:hint="eastAsia" w:ascii="仿宋_GB2312" w:hAnsi="宋体" w:eastAsia="仿宋_GB2312" w:cs="宋体"/>
          <w:color w:val="000000"/>
          <w:kern w:val="0"/>
          <w:sz w:val="24"/>
          <w:highlight w:val="none"/>
          <w:lang w:val="en-US" w:eastAsia="zh-CN"/>
        </w:rPr>
      </w:pPr>
      <w:r>
        <w:rPr>
          <w:rFonts w:hint="eastAsia" w:ascii="仿宋_GB2312" w:hAnsi="宋体" w:eastAsia="仿宋_GB2312"/>
          <w:b/>
          <w:kern w:val="0"/>
          <w:sz w:val="28"/>
          <w:szCs w:val="32"/>
          <w:highlight w:val="none"/>
        </w:rPr>
        <w:t>备注：</w:t>
      </w:r>
      <w:r>
        <w:rPr>
          <w:rFonts w:hint="eastAsia" w:ascii="仿宋_GB2312" w:hAnsi="宋体" w:eastAsia="仿宋_GB2312" w:cs="宋体"/>
          <w:color w:val="000000"/>
          <w:kern w:val="0"/>
          <w:sz w:val="24"/>
          <w:highlight w:val="none"/>
          <w:lang w:eastAsia="zh-CN"/>
        </w:rPr>
        <w:t>克孜勒苏柯尔克孜自治州人口和计划生育药具管理站</w:t>
      </w:r>
      <w:r>
        <w:rPr>
          <w:rFonts w:hint="eastAsia" w:ascii="仿宋_GB2312" w:hAnsi="宋体" w:eastAsia="仿宋_GB2312" w:cs="宋体"/>
          <w:color w:val="000000"/>
          <w:kern w:val="0"/>
          <w:sz w:val="24"/>
          <w:highlight w:val="none"/>
          <w:lang w:val="en-US" w:eastAsia="zh-CN"/>
        </w:rPr>
        <w:t>2021年度没有安排三公经费预算。</w:t>
      </w:r>
    </w:p>
    <w:p>
      <w:pPr>
        <w:outlineLvl w:val="1"/>
        <w:rPr>
          <w:rFonts w:hint="eastAsia" w:ascii="仿宋_GB2312" w:hAnsi="宋体" w:eastAsia="仿宋_GB2312" w:cs="宋体"/>
          <w:color w:val="000000"/>
          <w:kern w:val="0"/>
          <w:sz w:val="24"/>
          <w:highlight w:val="none"/>
          <w:lang w:val="en-US" w:eastAsia="zh-CN"/>
        </w:rPr>
      </w:pPr>
    </w:p>
    <w:p>
      <w:pPr>
        <w:outlineLvl w:val="1"/>
        <w:rPr>
          <w:rFonts w:hint="eastAsia" w:ascii="仿宋_GB2312" w:hAnsi="宋体" w:eastAsia="仿宋_GB2312" w:cs="宋体"/>
          <w:color w:val="000000"/>
          <w:kern w:val="0"/>
          <w:sz w:val="24"/>
          <w:highlight w:val="none"/>
          <w:lang w:val="en-US" w:eastAsia="zh-CN"/>
        </w:rPr>
      </w:pPr>
    </w:p>
    <w:p>
      <w:pPr>
        <w:widowControl/>
        <w:outlineLvl w:val="1"/>
        <w:rPr>
          <w:rFonts w:ascii="仿宋_GB2312" w:hAnsi="宋体" w:eastAsia="仿宋_GB2312"/>
          <w:b/>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outlineLvl w:val="1"/>
        <w:rPr>
          <w:rFonts w:ascii="仿宋_GB2312" w:hAnsi="宋体" w:eastAsia="仿宋_GB2312"/>
          <w:kern w:val="0"/>
          <w:sz w:val="32"/>
          <w:szCs w:val="32"/>
          <w:highlight w:val="none"/>
        </w:rPr>
      </w:pPr>
    </w:p>
    <w:p>
      <w:pPr>
        <w:widowControl/>
        <w:jc w:val="left"/>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表九：</w:t>
      </w:r>
    </w:p>
    <w:p>
      <w:pPr>
        <w:widowControl/>
        <w:jc w:val="center"/>
        <w:outlineLvl w:val="1"/>
        <w:rPr>
          <w:rFonts w:ascii="仿宋_GB2312" w:hAnsi="宋体" w:eastAsia="仿宋_GB2312"/>
          <w:b/>
          <w:kern w:val="0"/>
          <w:sz w:val="32"/>
          <w:szCs w:val="32"/>
          <w:highlight w:val="none"/>
        </w:rPr>
      </w:pPr>
      <w:r>
        <w:rPr>
          <w:rFonts w:hint="eastAsia" w:ascii="仿宋_GB2312" w:hAnsi="宋体" w:eastAsia="仿宋_GB2312"/>
          <w:b/>
          <w:kern w:val="0"/>
          <w:sz w:val="32"/>
          <w:szCs w:val="32"/>
          <w:highlight w:val="none"/>
        </w:rPr>
        <w:t>政府性基金预算支出情况表</w:t>
      </w:r>
    </w:p>
    <w:p>
      <w:pPr>
        <w:widowControl/>
        <w:outlineLvl w:val="1"/>
        <w:rPr>
          <w:rFonts w:ascii="仿宋_GB2312" w:hAnsi="宋体" w:eastAsia="仿宋_GB2312"/>
          <w:kern w:val="0"/>
          <w:sz w:val="24"/>
          <w:highlight w:val="none"/>
        </w:rPr>
      </w:pPr>
      <w:r>
        <w:rPr>
          <w:rFonts w:hint="eastAsia" w:ascii="仿宋_GB2312" w:hAnsi="宋体" w:eastAsia="仿宋_GB2312"/>
          <w:kern w:val="0"/>
          <w:sz w:val="24"/>
          <w:highlight w:val="none"/>
        </w:rPr>
        <w:t>编制单位：</w:t>
      </w:r>
      <w:r>
        <w:rPr>
          <w:rFonts w:hint="eastAsia" w:ascii="仿宋_GB2312" w:hAnsi="宋体" w:eastAsia="仿宋_GB2312"/>
          <w:kern w:val="0"/>
          <w:sz w:val="24"/>
          <w:highlight w:val="none"/>
          <w:lang w:eastAsia="zh-CN"/>
        </w:rPr>
        <w:t>克孜勒苏柯尔克孜自治州人口和计划生育药具管理站</w:t>
      </w:r>
      <w:r>
        <w:rPr>
          <w:rFonts w:hint="eastAsia" w:ascii="仿宋_GB2312" w:hAnsi="宋体" w:eastAsia="仿宋_GB2312"/>
          <w:kern w:val="0"/>
          <w:sz w:val="24"/>
          <w:highlight w:val="none"/>
          <w:lang w:val="en-US" w:eastAsia="zh-CN"/>
        </w:rPr>
        <w:t xml:space="preserve"> </w:t>
      </w:r>
      <w:r>
        <w:rPr>
          <w:rFonts w:hint="eastAsia" w:ascii="仿宋_GB2312" w:hAnsi="宋体" w:eastAsia="仿宋_GB2312"/>
          <w:kern w:val="0"/>
          <w:sz w:val="24"/>
          <w:highlight w:val="none"/>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highlight w:val="none"/>
              </w:rPr>
            </w:pPr>
            <w:r>
              <w:rPr>
                <w:rFonts w:hint="eastAsia" w:ascii="仿宋_GB2312" w:hAnsi="宋体" w:eastAsia="仿宋_GB2312" w:cs="宋体"/>
                <w:b/>
                <w:bCs/>
                <w:color w:val="000000"/>
                <w:kern w:val="0"/>
                <w:sz w:val="18"/>
                <w:szCs w:val="18"/>
                <w:highlight w:val="none"/>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highlight w:val="none"/>
              </w:rPr>
            </w:pPr>
            <w:r>
              <w:rPr>
                <w:rFonts w:hint="eastAsia" w:ascii="仿宋_GB2312" w:hAnsi="宋体" w:eastAsia="仿宋_GB2312" w:cs="宋体"/>
                <w:b/>
                <w:bCs/>
                <w:color w:val="000000"/>
                <w:kern w:val="0"/>
                <w:sz w:val="24"/>
                <w:highlight w:val="none"/>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highlight w:val="none"/>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highlight w:val="none"/>
              </w:rPr>
            </w:pPr>
            <w:r>
              <w:rPr>
                <w:rFonts w:hint="eastAsia" w:ascii="仿宋_GB2312" w:hAnsi="宋体" w:eastAsia="仿宋_GB2312" w:cs="宋体"/>
                <w:b/>
                <w:bCs/>
                <w:color w:val="000000"/>
                <w:kern w:val="0"/>
                <w:sz w:val="32"/>
                <w:szCs w:val="32"/>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4"/>
                <w:highlight w:val="none"/>
              </w:rPr>
            </w:pPr>
            <w:r>
              <w:rPr>
                <w:rFonts w:hint="eastAsia" w:ascii="宋体" w:hAnsi="宋体" w:cs="宋体"/>
                <w:color w:val="000000"/>
                <w:kern w:val="0"/>
                <w:sz w:val="24"/>
                <w:highlight w:val="none"/>
              </w:rPr>
              <w:t>　</w:t>
            </w:r>
          </w:p>
        </w:tc>
        <w:tc>
          <w:tcPr>
            <w:tcW w:w="457"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2896"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合计</w:t>
            </w:r>
          </w:p>
        </w:tc>
        <w:tc>
          <w:tcPr>
            <w:tcW w:w="1559" w:type="dxa"/>
            <w:tcBorders>
              <w:top w:val="nil"/>
              <w:left w:val="nil"/>
              <w:bottom w:val="nil"/>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701" w:type="dxa"/>
            <w:tcBorders>
              <w:top w:val="nil"/>
              <w:left w:val="nil"/>
              <w:bottom w:val="nil"/>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c>
          <w:tcPr>
            <w:tcW w:w="1559" w:type="dxa"/>
            <w:tcBorders>
              <w:top w:val="nil"/>
              <w:left w:val="nil"/>
              <w:bottom w:val="nil"/>
              <w:right w:val="single" w:color="auto" w:sz="4" w:space="0"/>
            </w:tcBorders>
            <w:shd w:val="clear" w:color="auto" w:fill="auto"/>
            <w:vAlign w:val="center"/>
          </w:tcPr>
          <w:p>
            <w:pPr>
              <w:widowControl/>
              <w:jc w:val="right"/>
              <w:rPr>
                <w:rFonts w:ascii="仿宋_GB2312" w:hAnsi="宋体" w:eastAsia="仿宋_GB2312" w:cs="宋体"/>
                <w:color w:val="000000"/>
                <w:kern w:val="0"/>
                <w:sz w:val="24"/>
                <w:highlight w:val="none"/>
              </w:rPr>
            </w:pPr>
            <w:r>
              <w:rPr>
                <w:rFonts w:hint="eastAsia" w:ascii="仿宋_GB2312" w:hAnsi="宋体" w:eastAsia="仿宋_GB2312" w:cs="宋体"/>
                <w:color w:val="000000"/>
                <w:kern w:val="0"/>
                <w:sz w:val="24"/>
                <w:highlight w:val="none"/>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highlight w:val="none"/>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4"/>
                <w:highlight w:val="none"/>
              </w:rPr>
            </w:pP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4"/>
                <w:highlight w:val="none"/>
              </w:rPr>
            </w:pP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highlight w:val="none"/>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highlight w:val="none"/>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highlight w:val="none"/>
              </w:rPr>
            </w:pP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4"/>
                <w:highlight w:val="none"/>
              </w:rPr>
            </w:pPr>
          </w:p>
        </w:tc>
      </w:tr>
    </w:tbl>
    <w:p>
      <w:pPr>
        <w:jc w:val="left"/>
        <w:outlineLvl w:val="1"/>
        <w:rPr>
          <w:rFonts w:ascii="仿宋_GB2312" w:hAnsi="宋体" w:eastAsia="仿宋_GB2312"/>
          <w:b/>
          <w:kern w:val="0"/>
          <w:sz w:val="28"/>
          <w:szCs w:val="28"/>
          <w:highlight w:val="none"/>
        </w:rPr>
      </w:pPr>
      <w:r>
        <w:rPr>
          <w:rFonts w:hint="eastAsia" w:ascii="仿宋_GB2312" w:hAnsi="宋体" w:eastAsia="仿宋_GB2312"/>
          <w:b/>
          <w:kern w:val="0"/>
          <w:sz w:val="28"/>
          <w:szCs w:val="32"/>
          <w:highlight w:val="none"/>
        </w:rPr>
        <w:t>备注：</w:t>
      </w:r>
      <w:r>
        <w:rPr>
          <w:rFonts w:hint="eastAsia" w:ascii="仿宋_GB2312" w:hAnsi="宋体" w:eastAsia="仿宋_GB2312" w:cs="宋体"/>
          <w:kern w:val="0"/>
          <w:sz w:val="28"/>
          <w:szCs w:val="28"/>
          <w:highlight w:val="none"/>
          <w:lang w:eastAsia="zh-CN"/>
        </w:rPr>
        <w:t>克孜勒苏柯尔克孜自治州人口和计划生育药具管理站2021</w:t>
      </w:r>
      <w:r>
        <w:rPr>
          <w:rFonts w:hint="eastAsia" w:ascii="仿宋_GB2312" w:hAnsi="宋体" w:eastAsia="仿宋_GB2312" w:cs="宋体"/>
          <w:kern w:val="0"/>
          <w:sz w:val="28"/>
          <w:szCs w:val="28"/>
          <w:highlight w:val="none"/>
        </w:rPr>
        <w:t>年没有</w:t>
      </w:r>
      <w:r>
        <w:rPr>
          <w:rFonts w:hint="eastAsia" w:ascii="仿宋_GB2312" w:hAnsi="宋体" w:eastAsia="仿宋_GB2312" w:cs="宋体"/>
          <w:kern w:val="0"/>
          <w:sz w:val="28"/>
          <w:szCs w:val="28"/>
          <w:highlight w:val="none"/>
          <w:lang w:eastAsia="zh-CN"/>
        </w:rPr>
        <w:t>安排</w:t>
      </w:r>
      <w:r>
        <w:rPr>
          <w:rFonts w:hint="eastAsia" w:ascii="仿宋_GB2312" w:hAnsi="宋体" w:eastAsia="仿宋_GB2312" w:cs="宋体"/>
          <w:kern w:val="0"/>
          <w:sz w:val="28"/>
          <w:szCs w:val="28"/>
          <w:highlight w:val="none"/>
        </w:rPr>
        <w:t>政府性基金预算，政府性基金预算支出情况表为空。</w:t>
      </w:r>
    </w:p>
    <w:p>
      <w:pPr>
        <w:widowControl/>
        <w:jc w:val="left"/>
        <w:outlineLvl w:val="1"/>
        <w:rPr>
          <w:rFonts w:ascii="仿宋_GB2312" w:hAnsi="宋体" w:eastAsia="仿宋_GB2312"/>
          <w:kern w:val="0"/>
          <w:sz w:val="32"/>
          <w:szCs w:val="32"/>
          <w:highlight w:val="none"/>
        </w:rPr>
        <w:sectPr>
          <w:pgSz w:w="11906" w:h="16838"/>
          <w:pgMar w:top="1440" w:right="1080" w:bottom="1440" w:left="1080" w:header="851" w:footer="992" w:gutter="0"/>
          <w:pgNumType w:fmt="decimal"/>
          <w:cols w:space="720" w:num="1"/>
          <w:docGrid w:linePitch="312" w:charSpace="0"/>
        </w:sectPr>
      </w:pPr>
    </w:p>
    <w:p>
      <w:pPr>
        <w:spacing w:line="560" w:lineRule="exact"/>
        <w:jc w:val="center"/>
        <w:rPr>
          <w:rFonts w:ascii="黑体" w:hAnsi="黑体" w:eastAsia="黑体"/>
          <w:kern w:val="0"/>
          <w:sz w:val="32"/>
          <w:szCs w:val="32"/>
          <w:highlight w:val="none"/>
        </w:rPr>
      </w:pPr>
      <w:r>
        <w:rPr>
          <w:rFonts w:hint="eastAsia" w:ascii="黑体" w:hAnsi="黑体" w:eastAsia="黑体"/>
          <w:kern w:val="0"/>
          <w:sz w:val="32"/>
          <w:szCs w:val="32"/>
          <w:highlight w:val="none"/>
        </w:rPr>
        <w:t xml:space="preserve">第三部分  </w:t>
      </w:r>
      <w:r>
        <w:rPr>
          <w:rFonts w:hint="eastAsia" w:ascii="黑体" w:hAnsi="黑体" w:eastAsia="黑体"/>
          <w:kern w:val="0"/>
          <w:sz w:val="32"/>
          <w:szCs w:val="32"/>
          <w:highlight w:val="none"/>
          <w:lang w:val="en-US" w:eastAsia="zh-CN"/>
        </w:rPr>
        <w:t>2021</w:t>
      </w:r>
      <w:r>
        <w:rPr>
          <w:rFonts w:hint="eastAsia" w:ascii="黑体" w:hAnsi="黑体" w:eastAsia="黑体"/>
          <w:kern w:val="0"/>
          <w:sz w:val="32"/>
          <w:szCs w:val="32"/>
          <w:highlight w:val="none"/>
        </w:rPr>
        <w:t>年</w:t>
      </w:r>
      <w:r>
        <w:rPr>
          <w:rFonts w:hint="eastAsia" w:ascii="黑体" w:hAnsi="黑体" w:eastAsia="黑体"/>
          <w:kern w:val="0"/>
          <w:sz w:val="32"/>
          <w:szCs w:val="32"/>
        </w:rPr>
        <w:t>部门（单位）</w:t>
      </w:r>
      <w:r>
        <w:rPr>
          <w:rFonts w:hint="eastAsia" w:ascii="黑体" w:hAnsi="黑体" w:eastAsia="黑体"/>
          <w:kern w:val="0"/>
          <w:sz w:val="32"/>
          <w:szCs w:val="32"/>
          <w:highlight w:val="none"/>
        </w:rPr>
        <w:t>预算情况说明</w:t>
      </w:r>
    </w:p>
    <w:p>
      <w:pPr>
        <w:spacing w:line="560" w:lineRule="exact"/>
        <w:jc w:val="center"/>
        <w:rPr>
          <w:rFonts w:ascii="黑体" w:hAnsi="黑体" w:eastAsia="黑体"/>
          <w:kern w:val="0"/>
          <w:sz w:val="32"/>
          <w:szCs w:val="32"/>
          <w:highlight w:val="none"/>
        </w:rPr>
      </w:pPr>
    </w:p>
    <w:p>
      <w:pPr>
        <w:spacing w:line="560" w:lineRule="exact"/>
        <w:ind w:firstLine="640" w:firstLineChars="200"/>
        <w:rPr>
          <w:rFonts w:ascii="黑体" w:hAnsi="宋体" w:eastAsia="黑体" w:cs="宋体"/>
          <w:kern w:val="0"/>
          <w:sz w:val="32"/>
          <w:szCs w:val="32"/>
          <w:highlight w:val="none"/>
        </w:rPr>
      </w:pPr>
      <w:r>
        <w:rPr>
          <w:rFonts w:hint="eastAsia" w:ascii="黑体" w:hAnsi="黑体" w:eastAsia="黑体" w:cs="宋体"/>
          <w:bCs/>
          <w:kern w:val="0"/>
          <w:sz w:val="32"/>
          <w:szCs w:val="32"/>
          <w:highlight w:val="none"/>
        </w:rPr>
        <w:t>一、</w:t>
      </w:r>
      <w:r>
        <w:rPr>
          <w:rFonts w:hint="eastAsia" w:ascii="黑体" w:hAnsi="宋体" w:eastAsia="黑体" w:cs="宋体"/>
          <w:kern w:val="0"/>
          <w:sz w:val="32"/>
          <w:szCs w:val="32"/>
          <w:highlight w:val="none"/>
        </w:rPr>
        <w:t>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按照全口径预算的原则，</w:t>
      </w:r>
      <w:r>
        <w:rPr>
          <w:rFonts w:hint="eastAsia" w:ascii="仿宋_GB2312" w:hAnsi="宋体" w:eastAsia="仿宋_GB2312" w:cs="宋体"/>
          <w:kern w:val="0"/>
          <w:sz w:val="32"/>
          <w:szCs w:val="32"/>
          <w:highlight w:val="none"/>
          <w:lang w:val="en-US" w:eastAsia="zh-CN"/>
        </w:rPr>
        <w:t>克孜勒苏柯尔克孜自治州人口和计划生育药具管理站2021</w:t>
      </w:r>
      <w:r>
        <w:rPr>
          <w:rFonts w:hint="eastAsia" w:ascii="仿宋_GB2312" w:hAnsi="宋体" w:eastAsia="仿宋_GB2312" w:cs="宋体"/>
          <w:kern w:val="0"/>
          <w:sz w:val="32"/>
          <w:szCs w:val="32"/>
          <w:highlight w:val="none"/>
        </w:rPr>
        <w:t>年所有收入和支出均纳入</w:t>
      </w:r>
      <w:r>
        <w:rPr>
          <w:rFonts w:hint="eastAsia" w:ascii="仿宋_GB2312" w:hAnsi="宋体" w:eastAsia="仿宋_GB2312" w:cs="宋体"/>
          <w:kern w:val="0"/>
          <w:sz w:val="32"/>
          <w:szCs w:val="32"/>
        </w:rPr>
        <w:t>部门（单位）</w:t>
      </w:r>
      <w:r>
        <w:rPr>
          <w:rFonts w:hint="eastAsia" w:ascii="仿宋_GB2312" w:hAnsi="宋体" w:eastAsia="仿宋_GB2312" w:cs="宋体"/>
          <w:kern w:val="0"/>
          <w:sz w:val="32"/>
          <w:szCs w:val="32"/>
          <w:highlight w:val="none"/>
        </w:rPr>
        <w:t>预算管理。收支总预算</w:t>
      </w:r>
      <w:r>
        <w:rPr>
          <w:rFonts w:hint="eastAsia" w:ascii="仿宋_GB2312" w:hAnsi="宋体" w:eastAsia="仿宋_GB2312" w:cs="宋体"/>
          <w:kern w:val="0"/>
          <w:sz w:val="32"/>
          <w:szCs w:val="32"/>
          <w:highlight w:val="none"/>
          <w:lang w:val="en-US" w:eastAsia="zh-CN"/>
        </w:rPr>
        <w:t>27.77</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收入预算包括：一般公共预算</w:t>
      </w:r>
      <w:r>
        <w:rPr>
          <w:rFonts w:hint="eastAsia" w:ascii="仿宋_GB2312" w:hAnsi="宋体" w:eastAsia="仿宋_GB2312" w:cs="宋体"/>
          <w:kern w:val="0"/>
          <w:sz w:val="32"/>
          <w:szCs w:val="32"/>
          <w:highlight w:val="none"/>
          <w:lang w:val="en-US" w:eastAsia="zh-CN"/>
        </w:rPr>
        <w:t>25.77万元、</w:t>
      </w:r>
      <w:r>
        <w:rPr>
          <w:rFonts w:hint="eastAsia" w:ascii="仿宋_GB2312" w:hAnsi="宋体" w:eastAsia="仿宋_GB2312" w:cs="宋体"/>
          <w:kern w:val="0"/>
          <w:sz w:val="32"/>
          <w:szCs w:val="32"/>
          <w:highlight w:val="none"/>
        </w:rPr>
        <w:t>单位上年结余</w:t>
      </w:r>
      <w:r>
        <w:rPr>
          <w:rFonts w:hint="eastAsia" w:ascii="仿宋_GB2312" w:hAnsi="宋体" w:eastAsia="仿宋_GB2312" w:cs="宋体"/>
          <w:kern w:val="0"/>
          <w:sz w:val="32"/>
          <w:szCs w:val="32"/>
          <w:highlight w:val="none"/>
          <w:lang w:val="en-US" w:eastAsia="zh-CN"/>
        </w:rPr>
        <w:t>2万元</w:t>
      </w:r>
      <w:r>
        <w:rPr>
          <w:rFonts w:hint="eastAsia" w:ascii="仿宋_GB2312" w:hAnsi="宋体" w:eastAsia="仿宋_GB2312" w:cs="宋体"/>
          <w:kern w:val="0"/>
          <w:sz w:val="32"/>
          <w:szCs w:val="32"/>
          <w:highlight w:val="none"/>
        </w:rPr>
        <w:t>（不包括国库集中支付额度结余）。</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支出预算包括：</w:t>
      </w:r>
      <w:r>
        <w:rPr>
          <w:rFonts w:hint="eastAsia" w:ascii="仿宋_GB2312" w:hAnsi="宋体" w:eastAsia="仿宋_GB2312" w:cs="宋体"/>
          <w:kern w:val="0"/>
          <w:sz w:val="32"/>
          <w:szCs w:val="32"/>
          <w:highlight w:val="none"/>
          <w:lang w:eastAsia="zh-CN"/>
        </w:rPr>
        <w:t>卫生</w:t>
      </w:r>
      <w:r>
        <w:rPr>
          <w:rFonts w:hint="eastAsia" w:ascii="仿宋_GB2312" w:hAnsi="宋体" w:eastAsia="仿宋_GB2312" w:cs="宋体"/>
          <w:kern w:val="0"/>
          <w:sz w:val="32"/>
          <w:szCs w:val="32"/>
          <w:highlight w:val="none"/>
        </w:rPr>
        <w:t>健康支出</w:t>
      </w:r>
      <w:r>
        <w:rPr>
          <w:rFonts w:hint="eastAsia" w:ascii="仿宋_GB2312" w:hAnsi="宋体" w:eastAsia="仿宋_GB2312" w:cs="宋体"/>
          <w:kern w:val="0"/>
          <w:sz w:val="32"/>
          <w:szCs w:val="32"/>
          <w:highlight w:val="none"/>
          <w:lang w:val="en-US" w:eastAsia="zh-CN"/>
        </w:rPr>
        <w:t>27.77</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二、关于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年收入预算情况说明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w:t>
      </w:r>
      <w:r>
        <w:rPr>
          <w:rFonts w:hint="eastAsia" w:ascii="仿宋_GB2312" w:hAnsi="宋体" w:eastAsia="仿宋_GB2312" w:cs="宋体"/>
          <w:kern w:val="0"/>
          <w:sz w:val="32"/>
          <w:szCs w:val="32"/>
          <w:highlight w:val="none"/>
        </w:rPr>
        <w:t>收入预算</w:t>
      </w:r>
      <w:r>
        <w:rPr>
          <w:rFonts w:hint="eastAsia" w:ascii="仿宋_GB2312" w:hAnsi="宋体" w:eastAsia="仿宋_GB2312" w:cs="宋体"/>
          <w:kern w:val="0"/>
          <w:sz w:val="32"/>
          <w:szCs w:val="32"/>
          <w:highlight w:val="none"/>
          <w:lang w:val="en-US" w:eastAsia="zh-CN"/>
        </w:rPr>
        <w:t>27.77</w:t>
      </w:r>
      <w:r>
        <w:rPr>
          <w:rFonts w:hint="eastAsia" w:ascii="仿宋_GB2312" w:hAnsi="宋体" w:eastAsia="仿宋_GB2312" w:cs="宋体"/>
          <w:kern w:val="0"/>
          <w:sz w:val="32"/>
          <w:szCs w:val="32"/>
          <w:highlight w:val="none"/>
        </w:rPr>
        <w:t>万元，其中：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一般公共预算</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92.80</w:t>
      </w:r>
      <w:r>
        <w:rPr>
          <w:rFonts w:hint="eastAsia" w:ascii="仿宋_GB2312" w:hAnsi="宋体" w:eastAsia="仿宋_GB2312" w:cs="宋体"/>
          <w:kern w:val="0"/>
          <w:sz w:val="32"/>
          <w:szCs w:val="32"/>
          <w:highlight w:val="none"/>
        </w:rPr>
        <w:t xml:space="preserve"> %，比上年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lang w:val="en-US" w:eastAsia="zh-CN"/>
        </w:rPr>
        <w:t>减少27.68</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一个人调走，一个人退休</w:t>
      </w:r>
      <w:r>
        <w:rPr>
          <w:rFonts w:hint="eastAsia" w:ascii="仿宋_GB2312" w:hAnsi="宋体" w:eastAsia="仿宋_GB2312" w:cs="宋体"/>
          <w:kern w:val="0"/>
          <w:sz w:val="32"/>
          <w:szCs w:val="32"/>
          <w:highlight w:val="none"/>
        </w:rPr>
        <w:t xml:space="preserve">；    </w:t>
      </w:r>
    </w:p>
    <w:p>
      <w:pPr>
        <w:spacing w:line="500" w:lineRule="exact"/>
        <w:ind w:firstLine="640"/>
        <w:jc w:val="left"/>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单位上年结余（不包括国库集中支付额度结余） </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 xml:space="preserve">万元，占 </w:t>
      </w:r>
      <w:r>
        <w:rPr>
          <w:rFonts w:hint="eastAsia" w:ascii="仿宋_GB2312" w:hAnsi="宋体" w:eastAsia="仿宋_GB2312" w:cs="宋体"/>
          <w:kern w:val="0"/>
          <w:sz w:val="32"/>
          <w:szCs w:val="32"/>
          <w:highlight w:val="none"/>
          <w:lang w:val="en-US" w:eastAsia="zh-CN"/>
        </w:rPr>
        <w:t>7.20</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预算增加</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万元，主要</w:t>
      </w:r>
      <w:r>
        <w:rPr>
          <w:rFonts w:hint="eastAsia" w:ascii="仿宋_GB2312" w:hAnsi="宋体" w:eastAsia="仿宋_GB2312" w:cs="宋体"/>
          <w:kern w:val="0"/>
          <w:sz w:val="32"/>
          <w:szCs w:val="32"/>
          <w:highlight w:val="none"/>
          <w:lang w:eastAsia="zh-CN"/>
        </w:rPr>
        <w:t>原因</w:t>
      </w:r>
      <w:r>
        <w:rPr>
          <w:rFonts w:hint="eastAsia"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val="en-US" w:eastAsia="zh-CN"/>
        </w:rPr>
        <w:t>2020年没有结余。</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年支出预算情况说明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克孜勒苏柯尔克孜自治州人口和计划生育药具管理站2021</w:t>
      </w:r>
      <w:r>
        <w:rPr>
          <w:rFonts w:hint="eastAsia" w:ascii="仿宋_GB2312" w:hAnsi="宋体" w:eastAsia="仿宋_GB2312" w:cs="宋体"/>
          <w:kern w:val="0"/>
          <w:sz w:val="32"/>
          <w:szCs w:val="32"/>
          <w:highlight w:val="none"/>
        </w:rPr>
        <w:t>年支出预算</w:t>
      </w:r>
      <w:r>
        <w:rPr>
          <w:rFonts w:hint="eastAsia" w:ascii="仿宋_GB2312" w:hAnsi="宋体" w:eastAsia="仿宋_GB2312" w:cs="宋体"/>
          <w:kern w:val="0"/>
          <w:sz w:val="32"/>
          <w:szCs w:val="32"/>
          <w:highlight w:val="none"/>
          <w:lang w:val="en-US" w:eastAsia="zh-CN"/>
        </w:rPr>
        <w:t>27.77</w:t>
      </w:r>
      <w:r>
        <w:rPr>
          <w:rFonts w:hint="eastAsia" w:ascii="仿宋_GB2312" w:hAnsi="宋体" w:eastAsia="仿宋_GB2312" w:cs="宋体"/>
          <w:kern w:val="0"/>
          <w:sz w:val="32"/>
          <w:szCs w:val="32"/>
          <w:highlight w:val="none"/>
        </w:rPr>
        <w:t>万元，其中：</w:t>
      </w:r>
    </w:p>
    <w:p>
      <w:pPr>
        <w:spacing w:line="560" w:lineRule="exact"/>
        <w:ind w:firstLine="640" w:firstLineChars="200"/>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100</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lang w:val="en-US" w:eastAsia="zh-CN"/>
        </w:rPr>
        <w:t>减少27.68</w:t>
      </w:r>
      <w:r>
        <w:rPr>
          <w:rFonts w:hint="eastAsia" w:ascii="仿宋_GB2312" w:hAnsi="宋体" w:eastAsia="仿宋_GB2312" w:cs="宋体"/>
          <w:kern w:val="0"/>
          <w:sz w:val="32"/>
          <w:szCs w:val="32"/>
          <w:highlight w:val="none"/>
        </w:rPr>
        <w:t>万元，主要原因是主要原因是</w:t>
      </w:r>
      <w:r>
        <w:rPr>
          <w:rFonts w:hint="eastAsia" w:ascii="仿宋_GB2312" w:hAnsi="宋体" w:eastAsia="仿宋_GB2312" w:cs="宋体"/>
          <w:kern w:val="0"/>
          <w:sz w:val="32"/>
          <w:szCs w:val="32"/>
          <w:highlight w:val="none"/>
          <w:lang w:val="en-US" w:eastAsia="zh-CN"/>
        </w:rPr>
        <w:t>一个人调走，一个人退休</w:t>
      </w:r>
      <w:r>
        <w:rPr>
          <w:rFonts w:hint="eastAsia" w:ascii="仿宋_GB2312" w:hAnsi="宋体" w:eastAsia="仿宋_GB2312" w:cs="宋体"/>
          <w:kern w:val="0"/>
          <w:sz w:val="32"/>
          <w:szCs w:val="32"/>
          <w:highlight w:val="none"/>
        </w:rPr>
        <w:t>。</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项目支出0</w:t>
      </w:r>
      <w:r>
        <w:rPr>
          <w:rFonts w:hint="eastAsia" w:ascii="仿宋_GB2312" w:hAnsi="宋体" w:eastAsia="仿宋_GB2312" w:cs="宋体"/>
          <w:kern w:val="0"/>
          <w:sz w:val="32"/>
          <w:szCs w:val="32"/>
          <w:highlight w:val="none"/>
        </w:rPr>
        <w:t>万元，占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eastAsia="zh-CN"/>
        </w:rPr>
        <w:t>无项目</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黑体" w:eastAsia="黑体" w:cs="宋体"/>
          <w:bCs/>
          <w:kern w:val="0"/>
          <w:sz w:val="32"/>
          <w:szCs w:val="32"/>
          <w:highlight w:val="none"/>
          <w:lang w:val="en-US" w:eastAsia="zh-CN"/>
        </w:rPr>
        <w:t>克孜勒苏柯尔克孜自治州人口和计划生育药具管理站2021</w:t>
      </w:r>
      <w:r>
        <w:rPr>
          <w:rFonts w:hint="eastAsia" w:ascii="黑体" w:hAnsi="黑体" w:eastAsia="黑体" w:cs="宋体"/>
          <w:bCs/>
          <w:kern w:val="0"/>
          <w:sz w:val="32"/>
          <w:szCs w:val="32"/>
          <w:highlight w:val="none"/>
        </w:rPr>
        <w:t>年财政拨款收支预算情况的总体说明</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年财政拨款收支总预算</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收入全部为一般公共预算拨款，无政府性基金预算拨款</w:t>
      </w:r>
      <w:r>
        <w:rPr>
          <w:rFonts w:hint="eastAsia" w:ascii="仿宋_GB2312" w:hAnsi="宋体" w:eastAsia="仿宋_GB2312" w:cs="宋体"/>
          <w:spacing w:val="-6"/>
          <w:kern w:val="0"/>
          <w:sz w:val="32"/>
          <w:szCs w:val="32"/>
          <w:highlight w:val="none"/>
          <w:lang w:val="en-US" w:eastAsia="zh-CN"/>
        </w:rPr>
        <w:t>和国有资本经营预算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spacing w:val="-6"/>
          <w:kern w:val="0"/>
          <w:sz w:val="32"/>
          <w:szCs w:val="32"/>
          <w:highlight w:val="none"/>
          <w:lang w:val="en-US" w:eastAsia="zh-CN"/>
        </w:rPr>
        <w:t>25.77</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rPr>
          <w:rFonts w:hint="eastAsia"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w:t>
      </w:r>
      <w:r>
        <w:rPr>
          <w:rFonts w:hint="eastAsia" w:ascii="仿宋_GB2312" w:hAnsi="宋体" w:eastAsia="仿宋_GB2312" w:cs="宋体"/>
          <w:kern w:val="0"/>
          <w:sz w:val="32"/>
          <w:szCs w:val="32"/>
          <w:highlight w:val="none"/>
          <w:lang w:eastAsia="zh-CN"/>
        </w:rPr>
        <w:t>卫生</w:t>
      </w:r>
      <w:r>
        <w:rPr>
          <w:rFonts w:hint="eastAsia" w:ascii="仿宋_GB2312" w:hAnsi="宋体" w:eastAsia="仿宋_GB2312" w:cs="宋体"/>
          <w:kern w:val="0"/>
          <w:sz w:val="32"/>
          <w:szCs w:val="32"/>
          <w:highlight w:val="none"/>
        </w:rPr>
        <w:t>健康支出</w:t>
      </w:r>
      <w:r>
        <w:rPr>
          <w:rFonts w:hint="eastAsia" w:ascii="仿宋_GB2312" w:hAnsi="宋体" w:eastAsia="仿宋_GB2312" w:cs="宋体"/>
          <w:spacing w:val="-6"/>
          <w:kern w:val="0"/>
          <w:sz w:val="32"/>
          <w:szCs w:val="32"/>
          <w:highlight w:val="none"/>
          <w:lang w:val="en-US" w:eastAsia="zh-CN"/>
        </w:rPr>
        <w:t>25.77</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，主要用于</w:t>
      </w:r>
      <w:r>
        <w:rPr>
          <w:rFonts w:hint="eastAsia" w:ascii="仿宋_GB2312" w:hAnsi="宋体" w:eastAsia="仿宋_GB2312" w:cs="宋体"/>
          <w:spacing w:val="-6"/>
          <w:kern w:val="0"/>
          <w:sz w:val="32"/>
          <w:szCs w:val="32"/>
          <w:highlight w:val="none"/>
          <w:lang w:eastAsia="zh-CN"/>
        </w:rPr>
        <w:t>：人员支出、公用经费及运行经费</w:t>
      </w:r>
      <w:r>
        <w:rPr>
          <w:rFonts w:hint="eastAsia" w:ascii="仿宋_GB2312" w:hAnsi="宋体" w:eastAsia="仿宋_GB2312" w:cs="宋体"/>
          <w:spacing w:val="-6"/>
          <w:kern w:val="0"/>
          <w:sz w:val="32"/>
          <w:szCs w:val="32"/>
          <w:highlight w:val="none"/>
        </w:rPr>
        <w:t xml:space="preserve"> 。</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五、关于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年一般公共预算当年拨款情况说明</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（一）一般公用预算当年拨款规模变化情况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克孜勒苏柯尔克孜自治州人口和计划生育药具管理站2021</w:t>
      </w:r>
      <w:r>
        <w:rPr>
          <w:rFonts w:hint="eastAsia" w:ascii="仿宋_GB2312" w:hAnsi="宋体" w:eastAsia="仿宋_GB2312" w:cs="宋体"/>
          <w:kern w:val="0"/>
          <w:sz w:val="32"/>
          <w:szCs w:val="32"/>
          <w:highlight w:val="none"/>
        </w:rPr>
        <w:t>年一般公共预算拨款</w:t>
      </w:r>
      <w:r>
        <w:rPr>
          <w:rFonts w:hint="eastAsia" w:ascii="仿宋_GB2312" w:hAnsi="宋体" w:eastAsia="仿宋_GB2312" w:cs="宋体"/>
          <w:kern w:val="0"/>
          <w:sz w:val="32"/>
          <w:szCs w:val="32"/>
          <w:highlight w:val="none"/>
          <w:lang w:eastAsia="zh-CN"/>
        </w:rPr>
        <w:t>合计</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，其中：</w:t>
      </w:r>
      <w:r>
        <w:rPr>
          <w:rFonts w:hint="eastAsia"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万元，比</w:t>
      </w:r>
      <w:r>
        <w:rPr>
          <w:rFonts w:hint="eastAsia" w:ascii="仿宋_GB2312" w:hAnsi="宋体" w:eastAsia="仿宋_GB2312" w:cs="宋体"/>
          <w:color w:val="auto"/>
          <w:kern w:val="0"/>
          <w:sz w:val="32"/>
          <w:szCs w:val="32"/>
          <w:highlight w:val="none"/>
        </w:rPr>
        <w:t>上年</w:t>
      </w:r>
      <w:r>
        <w:rPr>
          <w:rFonts w:hint="eastAsia" w:ascii="仿宋_GB2312" w:hAnsi="宋体" w:eastAsia="仿宋_GB2312" w:cs="宋体"/>
          <w:b w:val="0"/>
          <w:bCs w:val="0"/>
          <w:color w:val="auto"/>
          <w:kern w:val="0"/>
          <w:sz w:val="32"/>
          <w:szCs w:val="32"/>
          <w:highlight w:val="none"/>
          <w:lang w:eastAsia="zh-CN"/>
        </w:rPr>
        <w:t>预算</w:t>
      </w:r>
      <w:r>
        <w:rPr>
          <w:rFonts w:hint="eastAsia" w:ascii="仿宋_GB2312" w:hAnsi="宋体" w:eastAsia="仿宋_GB2312" w:cs="宋体"/>
          <w:kern w:val="0"/>
          <w:sz w:val="32"/>
          <w:szCs w:val="32"/>
          <w:highlight w:val="none"/>
        </w:rPr>
        <w:t>减少</w:t>
      </w:r>
      <w:r>
        <w:rPr>
          <w:rFonts w:hint="eastAsia" w:ascii="仿宋_GB2312" w:hAnsi="宋体" w:eastAsia="仿宋_GB2312" w:cs="宋体"/>
          <w:kern w:val="0"/>
          <w:sz w:val="32"/>
          <w:szCs w:val="32"/>
          <w:highlight w:val="none"/>
          <w:lang w:val="en-US" w:eastAsia="zh-CN"/>
        </w:rPr>
        <w:t>27.68</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107.41</w:t>
      </w:r>
      <w:r>
        <w:rPr>
          <w:rFonts w:hint="eastAsia" w:ascii="仿宋_GB2312" w:hAnsi="宋体" w:eastAsia="仿宋_GB2312" w:cs="宋体"/>
          <w:kern w:val="0"/>
          <w:sz w:val="32"/>
          <w:szCs w:val="32"/>
          <w:highlight w:val="none"/>
        </w:rPr>
        <w:t>%。主要原因是：主要原因是</w:t>
      </w:r>
      <w:r>
        <w:rPr>
          <w:rFonts w:hint="eastAsia" w:ascii="仿宋_GB2312" w:hAnsi="宋体" w:eastAsia="仿宋_GB2312" w:cs="宋体"/>
          <w:kern w:val="0"/>
          <w:sz w:val="32"/>
          <w:szCs w:val="32"/>
          <w:highlight w:val="none"/>
          <w:lang w:val="en-US" w:eastAsia="zh-CN"/>
        </w:rPr>
        <w:t>一个人调走，一个人退休，2021年预算安排2个在职3个退休工资。项目支出0</w:t>
      </w:r>
      <w:r>
        <w:rPr>
          <w:rFonts w:hint="eastAsia" w:ascii="仿宋_GB2312" w:hAnsi="宋体" w:eastAsia="仿宋_GB2312" w:cs="宋体"/>
          <w:kern w:val="0"/>
          <w:sz w:val="32"/>
          <w:szCs w:val="32"/>
          <w:highlight w:val="none"/>
        </w:rPr>
        <w:t>万元，比上年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增长</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单位无项目</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 xml:space="preserve">     </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（二）一般公共预算当年拨款结构情况</w:t>
      </w:r>
    </w:p>
    <w:p>
      <w:pPr>
        <w:widowControl/>
        <w:spacing w:line="560" w:lineRule="exact"/>
        <w:ind w:firstLine="640"/>
        <w:jc w:val="left"/>
        <w:rPr>
          <w:rFonts w:hint="eastAsia" w:ascii="仿宋_GB2312" w:hAnsi="宋体" w:eastAsia="仿宋_GB2312" w:cs="宋体"/>
          <w:color w:val="auto"/>
          <w:kern w:val="0"/>
          <w:sz w:val="32"/>
          <w:szCs w:val="32"/>
          <w:highlight w:val="none"/>
          <w:lang w:eastAsia="zh-CN"/>
        </w:rPr>
      </w:pPr>
      <w:r>
        <w:rPr>
          <w:rFonts w:hint="eastAsia" w:ascii="仿宋_GB2312" w:hAnsi="宋体" w:eastAsia="仿宋_GB2312" w:cs="宋体"/>
          <w:kern w:val="0"/>
          <w:sz w:val="32"/>
          <w:szCs w:val="32"/>
          <w:highlight w:val="none"/>
        </w:rPr>
        <w:t>卫生健康支出</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类：210</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万元，占100%。</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（三）一般公共预算当年拨款具体使用情况</w:t>
      </w:r>
    </w:p>
    <w:p>
      <w:pPr>
        <w:spacing w:line="500" w:lineRule="exact"/>
        <w:ind w:firstLine="642"/>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卫生健康支出（</w:t>
      </w:r>
      <w:r>
        <w:rPr>
          <w:rFonts w:hint="eastAsia" w:ascii="仿宋_GB2312" w:hAnsi="宋体" w:eastAsia="仿宋_GB2312" w:cs="宋体"/>
          <w:kern w:val="0"/>
          <w:sz w:val="32"/>
          <w:szCs w:val="32"/>
          <w:highlight w:val="none"/>
          <w:lang w:eastAsia="zh-CN"/>
        </w:rPr>
        <w:t>类：</w:t>
      </w:r>
      <w:r>
        <w:rPr>
          <w:rFonts w:hint="eastAsia" w:ascii="仿宋_GB2312" w:hAnsi="宋体" w:eastAsia="仿宋_GB2312" w:cs="宋体"/>
          <w:kern w:val="0"/>
          <w:sz w:val="32"/>
          <w:szCs w:val="32"/>
          <w:highlight w:val="none"/>
        </w:rPr>
        <w:t>21</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）计划生育事务（</w:t>
      </w:r>
      <w:r>
        <w:rPr>
          <w:rFonts w:hint="eastAsia" w:ascii="仿宋_GB2312" w:hAnsi="宋体" w:eastAsia="仿宋_GB2312" w:cs="宋体"/>
          <w:kern w:val="0"/>
          <w:sz w:val="32"/>
          <w:szCs w:val="32"/>
          <w:highlight w:val="none"/>
          <w:lang w:eastAsia="zh-CN"/>
        </w:rPr>
        <w:t>款：</w:t>
      </w:r>
      <w:r>
        <w:rPr>
          <w:rFonts w:hint="eastAsia" w:ascii="仿宋_GB2312" w:hAnsi="宋体" w:eastAsia="仿宋_GB2312" w:cs="宋体"/>
          <w:kern w:val="0"/>
          <w:sz w:val="32"/>
          <w:szCs w:val="32"/>
          <w:highlight w:val="none"/>
        </w:rPr>
        <w:t>07）其他计划生育事务支出（</w:t>
      </w:r>
      <w:r>
        <w:rPr>
          <w:rFonts w:hint="eastAsia" w:ascii="仿宋_GB2312" w:hAnsi="宋体" w:eastAsia="仿宋_GB2312" w:cs="宋体"/>
          <w:kern w:val="0"/>
          <w:sz w:val="32"/>
          <w:szCs w:val="32"/>
          <w:highlight w:val="none"/>
          <w:lang w:eastAsia="zh-CN"/>
        </w:rPr>
        <w:t>项：</w:t>
      </w:r>
      <w:r>
        <w:rPr>
          <w:rFonts w:hint="eastAsia" w:ascii="仿宋_GB2312" w:hAnsi="宋体" w:eastAsia="仿宋_GB2312" w:cs="宋体"/>
          <w:kern w:val="0"/>
          <w:sz w:val="32"/>
          <w:szCs w:val="32"/>
          <w:highlight w:val="none"/>
        </w:rPr>
        <w:t>99）:</w:t>
      </w:r>
      <w:r>
        <w:rPr>
          <w:rFonts w:hint="eastAsia" w:ascii="仿宋_GB2312" w:hAnsi="宋体" w:eastAsia="仿宋_GB2312" w:cs="宋体"/>
          <w:kern w:val="0"/>
          <w:sz w:val="32"/>
          <w:szCs w:val="32"/>
          <w:highlight w:val="none"/>
          <w:lang w:eastAsia="zh-CN"/>
        </w:rPr>
        <w:t>2021</w:t>
      </w:r>
      <w:r>
        <w:rPr>
          <w:rFonts w:hint="eastAsia" w:ascii="仿宋_GB2312" w:hAnsi="宋体" w:eastAsia="仿宋_GB2312" w:cs="宋体"/>
          <w:kern w:val="0"/>
          <w:sz w:val="32"/>
          <w:szCs w:val="32"/>
          <w:highlight w:val="none"/>
        </w:rPr>
        <w:t>年预算数为</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万元，比上年</w:t>
      </w:r>
      <w:r>
        <w:rPr>
          <w:rFonts w:hint="eastAsia" w:ascii="仿宋_GB2312" w:hAnsi="宋体" w:eastAsia="仿宋_GB2312" w:cs="宋体"/>
          <w:b w:val="0"/>
          <w:bCs w:val="0"/>
          <w:color w:val="auto"/>
          <w:kern w:val="0"/>
          <w:sz w:val="32"/>
          <w:szCs w:val="32"/>
          <w:highlight w:val="none"/>
          <w:lang w:eastAsia="zh-CN"/>
        </w:rPr>
        <w:t>预算</w:t>
      </w:r>
      <w:r>
        <w:rPr>
          <w:rFonts w:hint="eastAsia" w:ascii="仿宋_GB2312" w:hAnsi="宋体" w:eastAsia="仿宋_GB2312" w:cs="宋体"/>
          <w:kern w:val="0"/>
          <w:sz w:val="32"/>
          <w:szCs w:val="32"/>
          <w:highlight w:val="none"/>
        </w:rPr>
        <w:t>减少</w:t>
      </w:r>
      <w:r>
        <w:rPr>
          <w:rFonts w:hint="eastAsia" w:ascii="仿宋_GB2312" w:hAnsi="宋体" w:eastAsia="仿宋_GB2312" w:cs="宋体"/>
          <w:kern w:val="0"/>
          <w:sz w:val="32"/>
          <w:szCs w:val="32"/>
          <w:highlight w:val="none"/>
          <w:lang w:val="en-US" w:eastAsia="zh-CN"/>
        </w:rPr>
        <w:t>27.68</w:t>
      </w:r>
      <w:r>
        <w:rPr>
          <w:rFonts w:hint="eastAsia" w:ascii="仿宋_GB2312" w:hAnsi="宋体" w:eastAsia="仿宋_GB2312" w:cs="宋体"/>
          <w:kern w:val="0"/>
          <w:sz w:val="32"/>
          <w:szCs w:val="32"/>
          <w:highlight w:val="none"/>
        </w:rPr>
        <w:t>万元，下降</w:t>
      </w:r>
      <w:r>
        <w:rPr>
          <w:rFonts w:hint="eastAsia" w:ascii="仿宋_GB2312" w:hAnsi="宋体" w:eastAsia="仿宋_GB2312" w:cs="宋体"/>
          <w:kern w:val="0"/>
          <w:sz w:val="32"/>
          <w:szCs w:val="32"/>
          <w:highlight w:val="none"/>
          <w:lang w:val="en-US" w:eastAsia="zh-CN"/>
        </w:rPr>
        <w:t>107.41</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一个人调走，一个人退休，2021年预算安排2个在职3个退休工资。</w:t>
      </w:r>
      <w:r>
        <w:rPr>
          <w:rFonts w:hint="eastAsia" w:ascii="仿宋_GB2312" w:hAnsi="宋体" w:eastAsia="仿宋_GB2312" w:cs="宋体"/>
          <w:kern w:val="0"/>
          <w:sz w:val="32"/>
          <w:szCs w:val="32"/>
          <w:highlight w:val="none"/>
        </w:rPr>
        <w:t xml:space="preserve">   </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六、关于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年一般公共预算基本支出情况说明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克孜勒苏柯尔克孜自治州人口和计划生育药具管理站2021</w:t>
      </w:r>
      <w:r>
        <w:rPr>
          <w:rFonts w:hint="eastAsia" w:ascii="仿宋_GB2312" w:hAnsi="宋体" w:eastAsia="仿宋_GB2312" w:cs="宋体"/>
          <w:kern w:val="0"/>
          <w:sz w:val="32"/>
          <w:szCs w:val="32"/>
          <w:highlight w:val="none"/>
        </w:rPr>
        <w:t>年一般公共预算基本支出</w:t>
      </w:r>
      <w:r>
        <w:rPr>
          <w:rFonts w:hint="eastAsia" w:ascii="仿宋_GB2312" w:hAnsi="宋体" w:eastAsia="仿宋_GB2312" w:cs="宋体"/>
          <w:kern w:val="0"/>
          <w:sz w:val="32"/>
          <w:szCs w:val="32"/>
          <w:highlight w:val="none"/>
          <w:lang w:val="en-US" w:eastAsia="zh-CN"/>
        </w:rPr>
        <w:t>25.77</w:t>
      </w:r>
      <w:r>
        <w:rPr>
          <w:rFonts w:hint="eastAsia" w:ascii="仿宋_GB2312" w:hAnsi="宋体" w:eastAsia="仿宋_GB2312" w:cs="宋体"/>
          <w:kern w:val="0"/>
          <w:sz w:val="32"/>
          <w:szCs w:val="32"/>
          <w:highlight w:val="none"/>
        </w:rPr>
        <w:t>万元， 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w:t>
      </w:r>
      <w:r>
        <w:rPr>
          <w:rFonts w:hint="eastAsia" w:ascii="仿宋_GB2312" w:hAnsi="宋体" w:eastAsia="仿宋_GB2312" w:cs="宋体"/>
          <w:kern w:val="0"/>
          <w:sz w:val="32"/>
          <w:szCs w:val="32"/>
          <w:highlight w:val="none"/>
          <w:lang w:val="en-US" w:eastAsia="zh-CN"/>
        </w:rPr>
        <w:t>24.12</w:t>
      </w:r>
      <w:r>
        <w:rPr>
          <w:rFonts w:hint="eastAsia" w:ascii="仿宋_GB2312" w:hAnsi="宋体" w:eastAsia="仿宋_GB2312" w:cs="宋体"/>
          <w:kern w:val="0"/>
          <w:sz w:val="32"/>
          <w:szCs w:val="32"/>
          <w:highlight w:val="none"/>
        </w:rPr>
        <w:t>万元，主要包括：基本工资</w:t>
      </w:r>
      <w:r>
        <w:rPr>
          <w:rFonts w:hint="eastAsia" w:ascii="仿宋_GB2312" w:hAnsi="宋体" w:eastAsia="仿宋_GB2312" w:cs="宋体"/>
          <w:kern w:val="0"/>
          <w:sz w:val="32"/>
          <w:szCs w:val="32"/>
          <w:highlight w:val="none"/>
          <w:lang w:val="en-US" w:eastAsia="zh-CN"/>
        </w:rPr>
        <w:t>5.91万元</w:t>
      </w:r>
      <w:r>
        <w:rPr>
          <w:rFonts w:hint="eastAsia" w:ascii="仿宋_GB2312" w:hAnsi="宋体" w:eastAsia="仿宋_GB2312" w:cs="宋体"/>
          <w:kern w:val="0"/>
          <w:sz w:val="32"/>
          <w:szCs w:val="32"/>
          <w:highlight w:val="none"/>
        </w:rPr>
        <w:t>、津贴补贴</w:t>
      </w:r>
      <w:r>
        <w:rPr>
          <w:rFonts w:hint="eastAsia" w:ascii="仿宋_GB2312" w:hAnsi="宋体" w:eastAsia="仿宋_GB2312" w:cs="宋体"/>
          <w:kern w:val="0"/>
          <w:sz w:val="32"/>
          <w:szCs w:val="32"/>
          <w:highlight w:val="none"/>
          <w:lang w:val="en-US" w:eastAsia="zh-CN"/>
        </w:rPr>
        <w:t>9.40万元</w:t>
      </w:r>
      <w:r>
        <w:rPr>
          <w:rFonts w:hint="eastAsia" w:ascii="仿宋_GB2312" w:hAnsi="宋体" w:eastAsia="仿宋_GB2312" w:cs="宋体"/>
          <w:kern w:val="0"/>
          <w:sz w:val="32"/>
          <w:szCs w:val="32"/>
          <w:highlight w:val="none"/>
        </w:rPr>
        <w:t>、奖金</w:t>
      </w:r>
      <w:r>
        <w:rPr>
          <w:rFonts w:hint="eastAsia" w:ascii="仿宋_GB2312" w:hAnsi="宋体" w:eastAsia="仿宋_GB2312" w:cs="宋体"/>
          <w:kern w:val="0"/>
          <w:sz w:val="32"/>
          <w:szCs w:val="32"/>
          <w:highlight w:val="none"/>
          <w:lang w:val="en-US" w:eastAsia="zh-CN"/>
        </w:rPr>
        <w:t>0.62万元</w:t>
      </w:r>
      <w:r>
        <w:rPr>
          <w:rFonts w:hint="eastAsia" w:ascii="仿宋_GB2312" w:hAnsi="宋体" w:eastAsia="仿宋_GB2312" w:cs="宋体"/>
          <w:kern w:val="0"/>
          <w:sz w:val="32"/>
          <w:szCs w:val="32"/>
          <w:highlight w:val="none"/>
        </w:rPr>
        <w:t>、机关事业单位基本养老保险缴费</w:t>
      </w:r>
      <w:r>
        <w:rPr>
          <w:rFonts w:hint="eastAsia" w:ascii="仿宋_GB2312" w:hAnsi="宋体" w:eastAsia="仿宋_GB2312" w:cs="宋体"/>
          <w:kern w:val="0"/>
          <w:sz w:val="32"/>
          <w:szCs w:val="32"/>
          <w:highlight w:val="none"/>
          <w:lang w:val="en-US" w:eastAsia="zh-CN"/>
        </w:rPr>
        <w:t>2.18万元</w:t>
      </w:r>
      <w:r>
        <w:rPr>
          <w:rFonts w:hint="eastAsia" w:ascii="仿宋_GB2312" w:hAnsi="宋体" w:eastAsia="仿宋_GB2312" w:cs="宋体"/>
          <w:kern w:val="0"/>
          <w:sz w:val="32"/>
          <w:szCs w:val="32"/>
          <w:highlight w:val="none"/>
        </w:rPr>
        <w:t>、其他社会保障缴费</w:t>
      </w:r>
      <w:r>
        <w:rPr>
          <w:rFonts w:hint="eastAsia" w:ascii="仿宋_GB2312" w:hAnsi="宋体" w:eastAsia="仿宋_GB2312" w:cs="宋体"/>
          <w:kern w:val="0"/>
          <w:sz w:val="32"/>
          <w:szCs w:val="32"/>
          <w:highlight w:val="none"/>
          <w:lang w:val="en-US" w:eastAsia="zh-CN"/>
        </w:rPr>
        <w:t>1.96万元</w:t>
      </w:r>
      <w:r>
        <w:rPr>
          <w:rFonts w:hint="eastAsia" w:ascii="仿宋_GB2312" w:hAnsi="宋体" w:eastAsia="仿宋_GB2312" w:cs="宋体"/>
          <w:kern w:val="0"/>
          <w:sz w:val="32"/>
          <w:szCs w:val="32"/>
          <w:highlight w:val="none"/>
        </w:rPr>
        <w:t>、住房公积金</w:t>
      </w:r>
      <w:r>
        <w:rPr>
          <w:rFonts w:hint="eastAsia" w:ascii="仿宋_GB2312" w:hAnsi="宋体" w:eastAsia="仿宋_GB2312" w:cs="宋体"/>
          <w:kern w:val="0"/>
          <w:sz w:val="32"/>
          <w:szCs w:val="32"/>
          <w:highlight w:val="none"/>
          <w:lang w:val="en-US" w:eastAsia="zh-CN"/>
        </w:rPr>
        <w:t>1.57万元</w:t>
      </w:r>
      <w:r>
        <w:rPr>
          <w:rFonts w:hint="eastAsia" w:ascii="仿宋_GB2312" w:hAnsi="宋体" w:eastAsia="仿宋_GB2312" w:cs="宋体"/>
          <w:kern w:val="0"/>
          <w:sz w:val="32"/>
          <w:szCs w:val="32"/>
          <w:highlight w:val="none"/>
        </w:rPr>
        <w:t>、退休费</w:t>
      </w:r>
      <w:r>
        <w:rPr>
          <w:rFonts w:hint="eastAsia" w:ascii="仿宋_GB2312" w:hAnsi="宋体" w:eastAsia="仿宋_GB2312" w:cs="宋体"/>
          <w:kern w:val="0"/>
          <w:sz w:val="32"/>
          <w:szCs w:val="32"/>
          <w:highlight w:val="none"/>
          <w:lang w:val="en-US" w:eastAsia="zh-CN"/>
        </w:rPr>
        <w:t>2.19万元</w:t>
      </w:r>
      <w:r>
        <w:rPr>
          <w:rFonts w:hint="eastAsia" w:ascii="仿宋_GB2312" w:hAnsi="宋体" w:eastAsia="仿宋_GB2312" w:cs="宋体"/>
          <w:kern w:val="0"/>
          <w:sz w:val="32"/>
          <w:szCs w:val="32"/>
          <w:highlight w:val="none"/>
        </w:rPr>
        <w:t>等。</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公用经费</w:t>
      </w:r>
      <w:r>
        <w:rPr>
          <w:rFonts w:hint="eastAsia" w:ascii="仿宋_GB2312" w:hAnsi="宋体" w:eastAsia="仿宋_GB2312" w:cs="宋体"/>
          <w:kern w:val="0"/>
          <w:sz w:val="32"/>
          <w:szCs w:val="32"/>
          <w:highlight w:val="none"/>
          <w:lang w:val="en-US" w:eastAsia="zh-CN"/>
        </w:rPr>
        <w:t>1.65</w:t>
      </w:r>
      <w:r>
        <w:rPr>
          <w:rFonts w:hint="eastAsia" w:ascii="仿宋_GB2312" w:hAnsi="宋体" w:eastAsia="仿宋_GB2312" w:cs="宋体"/>
          <w:kern w:val="0"/>
          <w:sz w:val="32"/>
          <w:szCs w:val="32"/>
          <w:highlight w:val="none"/>
        </w:rPr>
        <w:t>万元，主要包括：办公费</w:t>
      </w:r>
      <w:r>
        <w:rPr>
          <w:rFonts w:hint="eastAsia" w:ascii="仿宋_GB2312" w:hAnsi="宋体" w:eastAsia="仿宋_GB2312" w:cs="宋体"/>
          <w:kern w:val="0"/>
          <w:sz w:val="32"/>
          <w:szCs w:val="32"/>
          <w:highlight w:val="none"/>
          <w:lang w:val="en-US" w:eastAsia="zh-CN"/>
        </w:rPr>
        <w:t>0.46万元</w:t>
      </w:r>
      <w:r>
        <w:rPr>
          <w:rFonts w:hint="eastAsia" w:ascii="仿宋_GB2312" w:hAnsi="宋体" w:eastAsia="仿宋_GB2312" w:cs="宋体"/>
          <w:kern w:val="0"/>
          <w:sz w:val="32"/>
          <w:szCs w:val="32"/>
          <w:highlight w:val="none"/>
        </w:rPr>
        <w:t>、邮电费</w:t>
      </w:r>
      <w:r>
        <w:rPr>
          <w:rFonts w:hint="eastAsia" w:ascii="仿宋_GB2312" w:hAnsi="宋体" w:eastAsia="仿宋_GB2312" w:cs="宋体"/>
          <w:kern w:val="0"/>
          <w:sz w:val="32"/>
          <w:szCs w:val="32"/>
          <w:highlight w:val="none"/>
          <w:lang w:val="en-US" w:eastAsia="zh-CN"/>
        </w:rPr>
        <w:t>0.24万元</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福利费0.16万元</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工会经费0.09万元</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七、关于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年项目支出情况说明</w:t>
      </w:r>
    </w:p>
    <w:p>
      <w:pPr>
        <w:spacing w:line="560" w:lineRule="exact"/>
        <w:ind w:firstLine="643" w:firstLineChars="200"/>
        <w:rPr>
          <w:rFonts w:hint="eastAsia" w:ascii="仿宋_GB2312" w:hAnsi="黑体" w:eastAsia="仿宋_GB2312"/>
          <w:b/>
          <w:sz w:val="32"/>
          <w:szCs w:val="32"/>
          <w:highlight w:val="none"/>
          <w:lang w:eastAsia="zh-CN"/>
        </w:rPr>
      </w:pPr>
      <w:r>
        <w:rPr>
          <w:rFonts w:hint="eastAsia" w:ascii="仿宋_GB2312" w:hAnsi="黑体" w:eastAsia="仿宋_GB2312"/>
          <w:b/>
          <w:sz w:val="32"/>
          <w:szCs w:val="32"/>
          <w:highlight w:val="none"/>
        </w:rPr>
        <w:t>情况一：（项目支出、专项业务费按下列内容说明）</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黑体" w:eastAsia="仿宋_GB2312"/>
          <w:sz w:val="32"/>
          <w:szCs w:val="32"/>
          <w:highlight w:val="none"/>
        </w:rPr>
        <w:t>项</w:t>
      </w:r>
      <w:r>
        <w:rPr>
          <w:rFonts w:hint="eastAsia" w:ascii="仿宋_GB2312" w:hAnsi="宋体" w:eastAsia="仿宋_GB2312" w:cs="宋体"/>
          <w:kern w:val="0"/>
          <w:sz w:val="32"/>
          <w:szCs w:val="32"/>
          <w:highlight w:val="none"/>
        </w:rPr>
        <w:t>目名称：无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设立的政策依据：无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预算安排规模：无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项目承担单位：无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资金分配情况：无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资金执行时间：无</w:t>
      </w:r>
    </w:p>
    <w:p>
      <w:pPr>
        <w:spacing w:line="56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情况二：（</w:t>
      </w:r>
      <w:r>
        <w:rPr>
          <w:rFonts w:ascii="仿宋_GB2312" w:hAnsi="宋体" w:eastAsia="仿宋_GB2312"/>
          <w:b/>
          <w:sz w:val="32"/>
          <w:szCs w:val="22"/>
          <w:highlight w:val="none"/>
        </w:rPr>
        <w:t>属于</w:t>
      </w:r>
      <w:r>
        <w:rPr>
          <w:rFonts w:ascii="仿宋_GB2312" w:hAnsi="宋体" w:eastAsia="仿宋_GB2312"/>
          <w:b/>
          <w:spacing w:val="-8"/>
          <w:sz w:val="32"/>
          <w:szCs w:val="22"/>
          <w:highlight w:val="none"/>
        </w:rPr>
        <w:t>对个人补贴的项目支出</w:t>
      </w:r>
      <w:r>
        <w:rPr>
          <w:rFonts w:hint="eastAsia" w:ascii="仿宋_GB2312" w:hAnsi="黑体" w:eastAsia="仿宋_GB2312"/>
          <w:b/>
          <w:sz w:val="32"/>
          <w:szCs w:val="32"/>
          <w:highlight w:val="none"/>
        </w:rPr>
        <w:t>按下列内容说明）</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项目名称：无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设立的政策依据：无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预算安排规模：无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项目承担单位：无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资金分配情况：无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资金执行时间：无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资金来源：无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补贴人数：无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补贴标准：无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补贴范围：无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补贴方式：无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发放程序：无</w:t>
      </w:r>
    </w:p>
    <w:p>
      <w:pPr>
        <w:spacing w:line="500" w:lineRule="exact"/>
        <w:ind w:firstLine="64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受益人群和社会效益：无</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八、关于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年一般公共预算“三公”经费预算情况说明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克孜勒苏柯尔克孜自治州人口和计划生育药具管理站2021年</w:t>
      </w:r>
      <w:r>
        <w:rPr>
          <w:rFonts w:hint="eastAsia" w:ascii="仿宋_GB2312" w:hAnsi="宋体" w:eastAsia="仿宋_GB2312" w:cs="宋体"/>
          <w:kern w:val="0"/>
          <w:sz w:val="32"/>
          <w:szCs w:val="32"/>
          <w:highlight w:val="none"/>
        </w:rPr>
        <w:t>“三公”经费财政拨款预算数为</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万元，其中：因公出国（境）费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万元，公务用车购置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万元，公务用车运行费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万元，公务接待费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年“三公”经费财政拨款预算比上年增加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万元，其中：因公出国（境）费增加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无</w:t>
      </w:r>
      <w:r>
        <w:rPr>
          <w:rFonts w:hint="eastAsia" w:ascii="仿宋_GB2312" w:hAnsi="宋体" w:eastAsia="仿宋_GB2312" w:cs="宋体"/>
          <w:kern w:val="0"/>
          <w:sz w:val="32"/>
          <w:szCs w:val="32"/>
          <w:highlight w:val="none"/>
        </w:rPr>
        <w:t>；公务用车购置费为0，未安排预算</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公务用车运行费增加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单位未安排</w:t>
      </w:r>
      <w:r>
        <w:rPr>
          <w:rFonts w:hint="eastAsia" w:ascii="仿宋_GB2312" w:hAnsi="宋体" w:eastAsia="仿宋_GB2312" w:cs="宋体"/>
          <w:kern w:val="0"/>
          <w:sz w:val="32"/>
          <w:szCs w:val="32"/>
          <w:highlight w:val="none"/>
        </w:rPr>
        <w:t>；公务接待费增加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万元，主要原因是</w:t>
      </w:r>
      <w:r>
        <w:rPr>
          <w:rFonts w:hint="eastAsia" w:ascii="仿宋_GB2312" w:hAnsi="宋体" w:eastAsia="仿宋_GB2312" w:cs="宋体"/>
          <w:kern w:val="0"/>
          <w:sz w:val="32"/>
          <w:szCs w:val="32"/>
          <w:highlight w:val="none"/>
          <w:lang w:val="en-US" w:eastAsia="zh-CN"/>
        </w:rPr>
        <w:t>单位未安排</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九、关于</w:t>
      </w:r>
      <w:r>
        <w:rPr>
          <w:rFonts w:hint="eastAsia" w:ascii="黑体" w:hAnsi="宋体" w:eastAsia="黑体" w:cs="宋体"/>
          <w:kern w:val="0"/>
          <w:sz w:val="32"/>
          <w:szCs w:val="32"/>
          <w:highlight w:val="none"/>
          <w:lang w:val="en-US" w:eastAsia="zh-CN"/>
        </w:rPr>
        <w:t>克孜勒苏柯尔克孜自治州人口和计划生育药具管理站2021</w:t>
      </w:r>
      <w:r>
        <w:rPr>
          <w:rFonts w:hint="eastAsia" w:ascii="黑体" w:hAnsi="宋体" w:eastAsia="黑体" w:cs="宋体"/>
          <w:kern w:val="0"/>
          <w:sz w:val="32"/>
          <w:szCs w:val="32"/>
          <w:highlight w:val="none"/>
        </w:rPr>
        <w:t>年政府性基金预算拨款情况说明</w:t>
      </w:r>
    </w:p>
    <w:p>
      <w:pPr>
        <w:spacing w:line="500" w:lineRule="exact"/>
        <w:ind w:firstLine="640"/>
        <w:jc w:val="left"/>
        <w:rPr>
          <w:rFonts w:ascii="仿宋_GB2312" w:hAnsi="宋体" w:eastAsia="仿宋_GB2312" w:cs="宋体"/>
          <w:b/>
          <w:kern w:val="0"/>
          <w:sz w:val="32"/>
          <w:szCs w:val="32"/>
          <w:highlight w:val="none"/>
        </w:rPr>
      </w:pPr>
      <w:r>
        <w:rPr>
          <w:rFonts w:hint="eastAsia" w:ascii="仿宋_GB2312" w:hAnsi="宋体" w:eastAsia="仿宋_GB2312" w:cs="宋体"/>
          <w:kern w:val="0"/>
          <w:sz w:val="32"/>
          <w:szCs w:val="32"/>
          <w:highlight w:val="none"/>
          <w:lang w:eastAsia="zh-CN"/>
        </w:rPr>
        <w:t>克孜勒苏柯尔克孜自治州人口和计划生育药具管理站</w:t>
      </w: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highlight w:val="none"/>
        </w:rPr>
      </w:pPr>
      <w:r>
        <w:rPr>
          <w:rFonts w:hint="eastAsia" w:ascii="黑体" w:hAnsi="宋体" w:eastAsia="黑体" w:cs="宋体"/>
          <w:kern w:val="0"/>
          <w:sz w:val="32"/>
          <w:szCs w:val="32"/>
          <w:highlight w:val="none"/>
        </w:rPr>
        <w:t>十、其他重要事项的情况说明</w:t>
      </w:r>
    </w:p>
    <w:p>
      <w:pPr>
        <w:spacing w:line="560" w:lineRule="exact"/>
        <w:ind w:firstLine="643" w:firstLineChars="200"/>
        <w:rPr>
          <w:rFonts w:hint="eastAsia"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（一）机关运行经费情况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克孜勒苏柯尔克孜自治州人口和计划生育药具管理站</w:t>
      </w:r>
      <w:r>
        <w:rPr>
          <w:rFonts w:hint="eastAsia" w:ascii="仿宋_GB2312" w:hAnsi="宋体" w:eastAsia="仿宋_GB2312" w:cs="宋体"/>
          <w:kern w:val="0"/>
          <w:sz w:val="32"/>
          <w:szCs w:val="32"/>
          <w:highlight w:val="none"/>
        </w:rPr>
        <w:t>本级及下属</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 家行政单位和</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家事业单位的机关运行经费财政拨款预算</w:t>
      </w:r>
      <w:r>
        <w:rPr>
          <w:rFonts w:hint="eastAsia" w:ascii="仿宋_GB2312" w:hAnsi="宋体" w:eastAsia="仿宋_GB2312" w:cs="宋体"/>
          <w:kern w:val="0"/>
          <w:sz w:val="32"/>
          <w:szCs w:val="32"/>
          <w:highlight w:val="none"/>
          <w:lang w:val="en-US" w:eastAsia="zh-CN"/>
        </w:rPr>
        <w:t>1.65</w:t>
      </w:r>
      <w:r>
        <w:rPr>
          <w:rFonts w:hint="eastAsia" w:ascii="仿宋_GB2312" w:hAnsi="宋体" w:eastAsia="仿宋_GB2312" w:cs="宋体"/>
          <w:kern w:val="0"/>
          <w:sz w:val="32"/>
          <w:szCs w:val="32"/>
          <w:highlight w:val="none"/>
        </w:rPr>
        <w:t>万元，比上年预算</w:t>
      </w:r>
      <w:r>
        <w:rPr>
          <w:rFonts w:hint="eastAsia" w:ascii="仿宋_GB2312" w:hAnsi="宋体" w:eastAsia="仿宋_GB2312" w:cs="宋体"/>
          <w:kern w:val="0"/>
          <w:sz w:val="32"/>
          <w:szCs w:val="32"/>
          <w:highlight w:val="none"/>
          <w:lang w:val="en-US" w:eastAsia="zh-CN"/>
        </w:rPr>
        <w:t>减少0.79</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val="en-US" w:eastAsia="zh-CN"/>
        </w:rPr>
        <w:t>减少32.38</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减少</w:t>
      </w:r>
      <w:r>
        <w:rPr>
          <w:rFonts w:hint="eastAsia" w:ascii="仿宋_GB2312" w:hAnsi="宋体" w:eastAsia="仿宋_GB2312" w:cs="宋体"/>
          <w:kern w:val="0"/>
          <w:sz w:val="32"/>
          <w:szCs w:val="32"/>
          <w:highlight w:val="none"/>
          <w:lang w:eastAsia="zh-CN"/>
        </w:rPr>
        <w:t>了</w:t>
      </w:r>
      <w:r>
        <w:rPr>
          <w:rFonts w:hint="eastAsia" w:ascii="仿宋_GB2312" w:hAnsi="宋体" w:eastAsia="仿宋_GB2312" w:cs="宋体"/>
          <w:kern w:val="0"/>
          <w:sz w:val="32"/>
          <w:szCs w:val="32"/>
          <w:highlight w:val="none"/>
          <w:lang w:val="en-US" w:eastAsia="zh-CN"/>
        </w:rPr>
        <w:t>公用经费、</w:t>
      </w:r>
      <w:r>
        <w:rPr>
          <w:rFonts w:hint="eastAsia" w:ascii="仿宋_GB2312" w:hAnsi="宋体" w:eastAsia="仿宋_GB2312" w:cs="宋体"/>
          <w:kern w:val="0"/>
          <w:sz w:val="32"/>
          <w:szCs w:val="32"/>
          <w:highlight w:val="none"/>
          <w:lang w:eastAsia="zh-CN"/>
        </w:rPr>
        <w:t>工会费</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福利费。</w:t>
      </w:r>
      <w:r>
        <w:rPr>
          <w:rFonts w:hint="eastAsia" w:ascii="仿宋_GB2312" w:hAnsi="宋体" w:eastAsia="仿宋_GB2312" w:cs="宋体"/>
          <w:kern w:val="0"/>
          <w:sz w:val="32"/>
          <w:szCs w:val="32"/>
          <w:highlight w:val="none"/>
        </w:rPr>
        <w:t xml:space="preserve"> </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（二）政府采购情况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2021年，克孜勒苏柯尔克孜自治州人口和计划生育药具管理站</w:t>
      </w:r>
      <w:r>
        <w:rPr>
          <w:rFonts w:hint="eastAsia" w:ascii="仿宋_GB2312" w:hAnsi="宋体" w:eastAsia="仿宋_GB2312" w:cs="宋体"/>
          <w:kern w:val="0"/>
          <w:sz w:val="32"/>
          <w:szCs w:val="32"/>
          <w:highlight w:val="none"/>
        </w:rPr>
        <w:t>政府采购预算</w:t>
      </w:r>
      <w:r>
        <w:rPr>
          <w:rFonts w:hint="eastAsia" w:ascii="仿宋_GB2312" w:hAnsi="宋体" w:eastAsia="仿宋_GB2312" w:cs="宋体"/>
          <w:kern w:val="0"/>
          <w:sz w:val="32"/>
          <w:szCs w:val="32"/>
          <w:highlight w:val="none"/>
          <w:lang w:val="en-US" w:eastAsia="zh-CN"/>
        </w:rPr>
        <w:t>1.3</w:t>
      </w:r>
      <w:r>
        <w:rPr>
          <w:rFonts w:hint="eastAsia" w:ascii="仿宋_GB2312" w:hAnsi="宋体" w:eastAsia="仿宋_GB2312" w:cs="宋体"/>
          <w:kern w:val="0"/>
          <w:sz w:val="32"/>
          <w:szCs w:val="32"/>
          <w:highlight w:val="none"/>
        </w:rPr>
        <w:t>万元，其中：政府采购货物预算</w:t>
      </w:r>
      <w:r>
        <w:rPr>
          <w:rFonts w:hint="eastAsia" w:ascii="仿宋_GB2312" w:hAnsi="宋体" w:eastAsia="仿宋_GB2312" w:cs="宋体"/>
          <w:kern w:val="0"/>
          <w:sz w:val="32"/>
          <w:szCs w:val="32"/>
          <w:highlight w:val="none"/>
          <w:lang w:val="en-US" w:eastAsia="zh-CN"/>
        </w:rPr>
        <w:t>1.3</w:t>
      </w:r>
      <w:r>
        <w:rPr>
          <w:rFonts w:hint="eastAsia" w:ascii="仿宋_GB2312" w:hAnsi="宋体" w:eastAsia="仿宋_GB2312" w:cs="宋体"/>
          <w:kern w:val="0"/>
          <w:sz w:val="32"/>
          <w:szCs w:val="32"/>
          <w:highlight w:val="none"/>
        </w:rPr>
        <w:t xml:space="preserve">万元，政府采购工程预算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万元，政府采购服务预算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sz w:val="32"/>
          <w:highlight w:val="none"/>
          <w:lang w:val="en-US" w:eastAsia="zh-CN"/>
        </w:rPr>
        <w:t>2021</w:t>
      </w:r>
      <w:r>
        <w:rPr>
          <w:rFonts w:hint="eastAsia" w:ascii="仿宋_GB2312" w:hAnsi="仿宋_GB2312" w:eastAsia="仿宋_GB2312"/>
          <w:sz w:val="32"/>
          <w:highlight w:val="none"/>
        </w:rPr>
        <w:t>年度本部门</w:t>
      </w:r>
      <w:r>
        <w:rPr>
          <w:rFonts w:hint="eastAsia" w:ascii="仿宋_GB2312" w:hAnsi="仿宋_GB2312" w:eastAsia="仿宋_GB2312"/>
          <w:sz w:val="32"/>
          <w:highlight w:val="none"/>
          <w:lang w:eastAsia="zh-CN"/>
        </w:rPr>
        <w:t>（单位）</w:t>
      </w:r>
      <w:r>
        <w:rPr>
          <w:rFonts w:hint="eastAsia" w:ascii="仿宋_GB2312" w:hAnsi="仿宋_GB2312" w:eastAsia="仿宋_GB2312"/>
          <w:sz w:val="32"/>
          <w:highlight w:val="none"/>
        </w:rPr>
        <w:t>面向中小企业预留政府采购项目预算金额</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 xml:space="preserve">万元，其中：面向小微企业预留政府采购项目预算金额 </w:t>
      </w:r>
      <w:r>
        <w:rPr>
          <w:rFonts w:hint="eastAsia" w:ascii="仿宋_GB2312" w:hAnsi="仿宋_GB2312" w:eastAsia="仿宋_GB2312"/>
          <w:sz w:val="32"/>
          <w:highlight w:val="none"/>
          <w:lang w:val="en-US" w:eastAsia="zh-CN"/>
        </w:rPr>
        <w:t>0</w:t>
      </w:r>
      <w:r>
        <w:rPr>
          <w:rFonts w:hint="eastAsia" w:ascii="仿宋_GB2312" w:hAnsi="仿宋_GB2312" w:eastAsia="仿宋_GB2312"/>
          <w:sz w:val="32"/>
          <w:highlight w:val="none"/>
        </w:rPr>
        <w:t>万元。</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（三）国有资产占用使用情况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截至</w:t>
      </w:r>
      <w:r>
        <w:rPr>
          <w:rFonts w:hint="eastAsia" w:ascii="仿宋_GB2312" w:hAnsi="宋体" w:eastAsia="仿宋_GB2312" w:cs="宋体"/>
          <w:kern w:val="0"/>
          <w:sz w:val="32"/>
          <w:szCs w:val="32"/>
          <w:highlight w:val="none"/>
          <w:lang w:val="en-US" w:eastAsia="zh-CN"/>
        </w:rPr>
        <w:t>2020</w:t>
      </w:r>
      <w:r>
        <w:rPr>
          <w:rFonts w:hint="eastAsia" w:ascii="仿宋_GB2312" w:hAnsi="宋体" w:eastAsia="仿宋_GB2312" w:cs="宋体"/>
          <w:kern w:val="0"/>
          <w:sz w:val="32"/>
          <w:szCs w:val="32"/>
          <w:highlight w:val="none"/>
        </w:rPr>
        <w:t>年底</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克孜勒苏柯尔克孜自治州人口和计划生育药具管理站</w:t>
      </w:r>
      <w:r>
        <w:rPr>
          <w:rFonts w:hint="eastAsia" w:ascii="仿宋_GB2312" w:hAnsi="宋体" w:eastAsia="仿宋_GB2312" w:cs="宋体"/>
          <w:kern w:val="0"/>
          <w:sz w:val="32"/>
          <w:szCs w:val="32"/>
          <w:highlight w:val="none"/>
        </w:rPr>
        <w:t>及下属各预算单位占用使用国有资产总体情况为</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1.房屋</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平方米，价值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2.车辆</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万元；其中：一般公务用车</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万元；执法执勤用车</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万元；其他车辆</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辆，价值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3.办公家具价值</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4.其他资产价值 </w:t>
      </w:r>
      <w:r>
        <w:rPr>
          <w:rFonts w:hint="eastAsia" w:ascii="仿宋_GB2312" w:hAnsi="宋体" w:eastAsia="仿宋_GB2312" w:cs="宋体"/>
          <w:kern w:val="0"/>
          <w:sz w:val="32"/>
          <w:szCs w:val="32"/>
          <w:highlight w:val="none"/>
          <w:lang w:val="en-US" w:eastAsia="zh-CN"/>
        </w:rPr>
        <w:t>15.79</w:t>
      </w:r>
      <w:r>
        <w:rPr>
          <w:rFonts w:hint="eastAsia" w:ascii="仿宋_GB2312" w:hAnsi="宋体" w:eastAsia="仿宋_GB2312" w:cs="宋体"/>
          <w:kern w:val="0"/>
          <w:sz w:val="32"/>
          <w:szCs w:val="32"/>
          <w:highlight w:val="none"/>
        </w:rPr>
        <w:t>万元。</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单位价值50万元以上大型设备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台（套），单位价值100万元以上大型设备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2021年克孜勒苏柯尔克孜自治州人口和计划生育药具管理站</w:t>
      </w:r>
      <w:r>
        <w:rPr>
          <w:rFonts w:hint="eastAsia" w:ascii="仿宋_GB2312" w:hAnsi="宋体" w:eastAsia="仿宋_GB2312" w:cs="宋体"/>
          <w:kern w:val="0"/>
          <w:sz w:val="32"/>
          <w:szCs w:val="32"/>
          <w:highlight w:val="none"/>
        </w:rPr>
        <w:t>预算未安排购置车辆经费（或安排购置车辆经费</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万元），安排购置50万元以上大型设备</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 xml:space="preserve">台（套），单位价值100万元以上大型设备 </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台（套）。</w:t>
      </w:r>
    </w:p>
    <w:p>
      <w:pPr>
        <w:spacing w:line="560" w:lineRule="exact"/>
        <w:ind w:firstLine="643"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（四）预算绩效情况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2021</w:t>
      </w:r>
      <w:r>
        <w:rPr>
          <w:rFonts w:hint="eastAsia" w:ascii="仿宋_GB2312" w:hAnsi="宋体" w:eastAsia="仿宋_GB2312" w:cs="宋体"/>
          <w:kern w:val="0"/>
          <w:sz w:val="32"/>
          <w:szCs w:val="32"/>
          <w:highlight w:val="none"/>
        </w:rPr>
        <w:t>年度，本年度实行绩效管理的项目</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个，涉及预算金额</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万元。具体情况见下表（按项目分别填报）：</w:t>
      </w:r>
    </w:p>
    <w:p>
      <w:pPr>
        <w:widowControl/>
        <w:spacing w:line="600" w:lineRule="exact"/>
        <w:rPr>
          <w:rFonts w:ascii="仿宋_GB2312" w:hAnsi="宋体" w:eastAsia="仿宋_GB2312" w:cs="宋体"/>
          <w:kern w:val="0"/>
          <w:sz w:val="32"/>
          <w:szCs w:val="32"/>
          <w:highlight w:val="none"/>
        </w:rPr>
        <w:sectPr>
          <w:pgSz w:w="11906" w:h="16838"/>
          <w:pgMar w:top="1440" w:right="1800" w:bottom="1440" w:left="1800" w:header="851" w:footer="992" w:gutter="0"/>
          <w:pgNumType w:fmt="decimal"/>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highlight w:val="none"/>
              </w:rPr>
            </w:pPr>
            <w:r>
              <w:rPr>
                <w:rFonts w:hint="eastAsia" w:ascii="仿宋_GB2312" w:hAnsi="宋体" w:eastAsia="仿宋_GB2312"/>
                <w:b/>
                <w:kern w:val="0"/>
                <w:sz w:val="32"/>
                <w:szCs w:val="32"/>
                <w:highlight w:val="none"/>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highlight w:val="none"/>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eastAsia="zh-CN"/>
              </w:rPr>
              <w:t>克孜勒苏柯尔克孜自治州人口和计划生育药具管理站</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lang w:eastAsia="zh-CN"/>
              </w:rPr>
              <w:t>无</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0</w:t>
            </w:r>
            <w:r>
              <w:rPr>
                <w:rFonts w:hint="eastAsia" w:ascii="宋体" w:hAnsi="宋体" w:cs="宋体"/>
                <w:kern w:val="0"/>
                <w:sz w:val="18"/>
                <w:szCs w:val="18"/>
                <w:highlight w:val="none"/>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无</w:t>
            </w:r>
            <w:r>
              <w:rPr>
                <w:rFonts w:hint="eastAsia" w:ascii="宋体" w:hAnsi="宋体" w:cs="宋体"/>
                <w:kern w:val="0"/>
                <w:sz w:val="18"/>
                <w:szCs w:val="18"/>
                <w:highlight w:val="none"/>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0</w:t>
            </w: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highlight w:val="none"/>
                <w:lang w:eastAsia="zh-CN"/>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highlight w:val="none"/>
              </w:rPr>
            </w:pPr>
            <w:r>
              <w:rPr>
                <w:rFonts w:hint="eastAsia" w:ascii="宋体" w:hAnsi="宋体" w:cs="宋体"/>
                <w:b/>
                <w:bCs/>
                <w:kern w:val="0"/>
                <w:sz w:val="18"/>
                <w:szCs w:val="18"/>
                <w:highlight w:val="none"/>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highlight w:val="none"/>
              </w:rPr>
            </w:pPr>
            <w:r>
              <w:rPr>
                <w:rFonts w:hint="eastAsia" w:ascii="宋体" w:hAnsi="宋体" w:cs="宋体"/>
                <w:kern w:val="0"/>
                <w:sz w:val="18"/>
                <w:szCs w:val="18"/>
                <w:highlight w:val="none"/>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highlight w:val="none"/>
              </w:rPr>
            </w:pPr>
            <w:r>
              <w:rPr>
                <w:rFonts w:hint="eastAsia" w:ascii="宋体" w:hAnsi="宋体" w:cs="宋体"/>
                <w:kern w:val="0"/>
                <w:sz w:val="18"/>
                <w:szCs w:val="18"/>
                <w:highlight w:val="none"/>
              </w:rPr>
              <w:t>　</w:t>
            </w:r>
          </w:p>
        </w:tc>
      </w:tr>
    </w:tbl>
    <w:p>
      <w:pPr>
        <w:widowControl/>
        <w:spacing w:line="560" w:lineRule="exact"/>
        <w:ind w:firstLine="630" w:firstLineChars="196"/>
        <w:jc w:val="left"/>
        <w:rPr>
          <w:rFonts w:ascii="楷体_GB2312" w:hAnsi="宋体" w:eastAsia="楷体_GB2312" w:cs="宋体"/>
          <w:b/>
          <w:kern w:val="0"/>
          <w:sz w:val="32"/>
          <w:szCs w:val="32"/>
          <w:highlight w:val="none"/>
        </w:rPr>
        <w:sectPr>
          <w:pgSz w:w="16838" w:h="11906" w:orient="landscape"/>
          <w:pgMar w:top="1800" w:right="1440" w:bottom="1800" w:left="1440" w:header="851" w:footer="992" w:gutter="0"/>
          <w:pgNumType w:fmt="decimal"/>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（五）其他需说明的事项</w:t>
      </w:r>
    </w:p>
    <w:p>
      <w:pPr>
        <w:spacing w:line="560" w:lineRule="exact"/>
        <w:ind w:firstLine="627" w:firstLineChars="196"/>
        <w:jc w:val="left"/>
        <w:rPr>
          <w:rFonts w:hint="eastAsia" w:ascii="楷体_GB2312" w:hAnsi="宋体" w:eastAsia="楷体_GB2312" w:cs="宋体"/>
          <w:b/>
          <w:kern w:val="0"/>
          <w:sz w:val="32"/>
          <w:szCs w:val="32"/>
          <w:highlight w:val="none"/>
          <w:lang w:eastAsia="zh-CN"/>
        </w:rPr>
      </w:pPr>
      <w:r>
        <w:rPr>
          <w:rFonts w:hint="eastAsia" w:ascii="仿宋" w:hAnsi="仿宋" w:eastAsia="仿宋" w:cs="宋体"/>
          <w:b w:val="0"/>
          <w:bCs/>
          <w:kern w:val="0"/>
          <w:sz w:val="32"/>
          <w:szCs w:val="32"/>
          <w:highlight w:val="none"/>
          <w:lang w:eastAsia="zh-CN"/>
        </w:rPr>
        <w:t>克孜勒苏柯尔克孜自治州人口和计划生育药具管理站无其他说明事项。</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before="156" w:beforeLines="50" w:line="520" w:lineRule="exact"/>
        <w:jc w:val="center"/>
        <w:outlineLvl w:val="1"/>
        <w:rPr>
          <w:rFonts w:hint="eastAsia" w:ascii="黑体" w:hAnsi="黑体" w:eastAsia="黑体"/>
          <w:kern w:val="0"/>
          <w:sz w:val="32"/>
          <w:szCs w:val="32"/>
          <w:highlight w:val="none"/>
        </w:rPr>
      </w:pPr>
    </w:p>
    <w:p>
      <w:pPr>
        <w:widowControl/>
        <w:spacing w:before="156" w:beforeLines="50" w:line="520" w:lineRule="exact"/>
        <w:jc w:val="both"/>
        <w:outlineLvl w:val="1"/>
        <w:rPr>
          <w:rFonts w:hint="eastAsia" w:ascii="黑体" w:hAnsi="黑体" w:eastAsia="黑体"/>
          <w:kern w:val="0"/>
          <w:sz w:val="32"/>
          <w:szCs w:val="32"/>
          <w:highlight w:val="none"/>
        </w:rPr>
      </w:pPr>
    </w:p>
    <w:p>
      <w:pPr>
        <w:widowControl/>
        <w:spacing w:before="217" w:beforeLines="50" w:line="520" w:lineRule="exact"/>
        <w:jc w:val="center"/>
        <w:outlineLvl w:val="1"/>
        <w:rPr>
          <w:rFonts w:ascii="黑体" w:hAnsi="黑体" w:eastAsia="黑体"/>
          <w:kern w:val="0"/>
          <w:sz w:val="32"/>
          <w:szCs w:val="32"/>
          <w:highlight w:val="none"/>
        </w:rPr>
      </w:pPr>
      <w:r>
        <w:rPr>
          <w:rFonts w:hint="eastAsia" w:ascii="黑体" w:hAnsi="黑体" w:eastAsia="黑体"/>
          <w:kern w:val="0"/>
          <w:sz w:val="32"/>
          <w:szCs w:val="32"/>
          <w:highlight w:val="none"/>
        </w:rPr>
        <w:t>第四部分  名词解释</w:t>
      </w:r>
    </w:p>
    <w:p>
      <w:pPr>
        <w:widowControl/>
        <w:spacing w:before="217" w:beforeLines="50" w:line="520" w:lineRule="exact"/>
        <w:jc w:val="center"/>
        <w:outlineLvl w:val="1"/>
        <w:rPr>
          <w:rFonts w:ascii="黑体" w:hAnsi="黑体" w:eastAsia="黑体"/>
          <w:kern w:val="0"/>
          <w:sz w:val="32"/>
          <w:szCs w:val="32"/>
          <w:highlight w:val="none"/>
        </w:rPr>
      </w:pPr>
    </w:p>
    <w:p>
      <w:pPr>
        <w:widowControl/>
        <w:spacing w:line="520" w:lineRule="exact"/>
        <w:ind w:firstLine="640"/>
        <w:jc w:val="left"/>
        <w:rPr>
          <w:rFonts w:ascii="黑体" w:hAnsi="宋体" w:eastAsia="黑体" w:cs="宋体"/>
          <w:kern w:val="0"/>
          <w:sz w:val="32"/>
          <w:szCs w:val="32"/>
          <w:highlight w:val="none"/>
        </w:rPr>
      </w:pPr>
      <w:r>
        <w:rPr>
          <w:rFonts w:hint="eastAsia" w:ascii="黑体" w:hAnsi="宋体" w:eastAsia="黑体" w:cs="宋体"/>
          <w:kern w:val="0"/>
          <w:sz w:val="32"/>
          <w:szCs w:val="32"/>
          <w:highlight w:val="none"/>
        </w:rPr>
        <w:t>名词解释：</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rPr>
        <w:t>二、一般公共预算：</w:t>
      </w:r>
      <w:r>
        <w:rPr>
          <w:rFonts w:hint="eastAsia" w:ascii="仿宋_GB2312" w:eastAsia="仿宋_GB2312"/>
          <w:spacing w:val="-6"/>
          <w:sz w:val="32"/>
          <w:szCs w:val="32"/>
          <w:highlight w:val="none"/>
        </w:rPr>
        <w:t>包括公共财政拨款（补助）资金、专项收入。</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三</w:t>
      </w:r>
      <w:r>
        <w:rPr>
          <w:rFonts w:hint="eastAsia" w:ascii="黑体" w:hAnsi="黑体" w:eastAsia="黑体"/>
          <w:sz w:val="32"/>
          <w:szCs w:val="32"/>
          <w:highlight w:val="none"/>
        </w:rPr>
        <w:t>、基本支出：</w:t>
      </w:r>
      <w:r>
        <w:rPr>
          <w:rFonts w:hint="eastAsia" w:ascii="仿宋_GB2312" w:eastAsia="仿宋_GB2312"/>
          <w:sz w:val="32"/>
          <w:szCs w:val="32"/>
          <w:highlight w:val="none"/>
        </w:rPr>
        <w:t>包括人员经费、商品和服务支出（定额）。其中，人员经费包括工资福利支出、对个人和家庭的补助。</w:t>
      </w:r>
    </w:p>
    <w:p>
      <w:pPr>
        <w:spacing w:line="520" w:lineRule="exact"/>
        <w:ind w:firstLine="642"/>
        <w:rPr>
          <w:rFonts w:ascii="仿宋_GB2312" w:eastAsia="仿宋_GB2312"/>
          <w:sz w:val="32"/>
          <w:szCs w:val="32"/>
          <w:highlight w:val="none"/>
        </w:rPr>
      </w:pPr>
      <w:r>
        <w:rPr>
          <w:rFonts w:hint="eastAsia" w:ascii="黑体" w:hAnsi="黑体" w:eastAsia="黑体"/>
          <w:sz w:val="32"/>
          <w:szCs w:val="32"/>
          <w:highlight w:val="none"/>
          <w:lang w:eastAsia="zh-CN"/>
        </w:rPr>
        <w:t>四</w:t>
      </w:r>
      <w:r>
        <w:rPr>
          <w:rFonts w:hint="eastAsia" w:ascii="黑体" w:hAnsi="黑体" w:eastAsia="黑体"/>
          <w:sz w:val="32"/>
          <w:szCs w:val="32"/>
          <w:highlight w:val="none"/>
        </w:rPr>
        <w:t>、机关运行经费：</w:t>
      </w:r>
      <w:r>
        <w:rPr>
          <w:rFonts w:hint="eastAsia" w:ascii="仿宋_GB2312" w:eastAsia="仿宋_GB2312"/>
          <w:sz w:val="32"/>
          <w:szCs w:val="32"/>
          <w:highlight w:val="none"/>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p>
    <w:p>
      <w:pPr>
        <w:widowControl/>
        <w:spacing w:line="520" w:lineRule="exact"/>
        <w:ind w:firstLine="1280" w:firstLineChars="400"/>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克孜勒苏柯尔克孜自治州人口和计划生育药具管理站</w:t>
      </w:r>
    </w:p>
    <w:p>
      <w:pPr>
        <w:widowControl/>
        <w:spacing w:line="520" w:lineRule="exact"/>
        <w:jc w:val="left"/>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val="en-US" w:eastAsia="zh-CN"/>
        </w:rPr>
        <w:t xml:space="preserve"> 2021</w:t>
      </w:r>
      <w:r>
        <w:rPr>
          <w:rFonts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2</w:t>
      </w:r>
      <w:r>
        <w:rPr>
          <w:rFonts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ascii="仿宋_GB2312" w:hAnsi="宋体" w:eastAsia="仿宋_GB2312" w:cs="宋体"/>
          <w:kern w:val="0"/>
          <w:sz w:val="32"/>
          <w:szCs w:val="32"/>
          <w:highlight w:val="none"/>
        </w:rPr>
        <w:t>日</w:t>
      </w:r>
    </w:p>
    <w:p>
      <w:pPr>
        <w:rPr>
          <w:highlight w:val="none"/>
        </w:rPr>
      </w:pPr>
    </w:p>
    <w:p>
      <w:pPr>
        <w:spacing w:line="20" w:lineRule="exact"/>
        <w:rPr>
          <w:rFonts w:ascii="仿宋_GB2312" w:eastAsia="仿宋_GB2312"/>
          <w:sz w:val="28"/>
          <w:szCs w:val="28"/>
          <w:highlight w:val="none"/>
        </w:rPr>
      </w:pPr>
    </w:p>
    <w:sectPr>
      <w:pgSz w:w="11906" w:h="16838"/>
      <w:pgMar w:top="2098" w:right="1531" w:bottom="2098"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35798"/>
    <w:multiLevelType w:val="singleLevel"/>
    <w:tmpl w:val="F5035798"/>
    <w:lvl w:ilvl="0" w:tentative="0">
      <w:start w:val="2"/>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54632"/>
    <w:rsid w:val="009D0AA2"/>
    <w:rsid w:val="00B22D8A"/>
    <w:rsid w:val="00D06D6F"/>
    <w:rsid w:val="00E469CA"/>
    <w:rsid w:val="00E7167C"/>
    <w:rsid w:val="01DB3C14"/>
    <w:rsid w:val="0785438A"/>
    <w:rsid w:val="07E02A6D"/>
    <w:rsid w:val="09A53B2E"/>
    <w:rsid w:val="102F645B"/>
    <w:rsid w:val="18304285"/>
    <w:rsid w:val="1A606761"/>
    <w:rsid w:val="1E680C5F"/>
    <w:rsid w:val="1F3B4D80"/>
    <w:rsid w:val="1FC32A33"/>
    <w:rsid w:val="24AF6E98"/>
    <w:rsid w:val="26E060F7"/>
    <w:rsid w:val="27CA5EBB"/>
    <w:rsid w:val="2DE30846"/>
    <w:rsid w:val="327D3E79"/>
    <w:rsid w:val="35A14AD3"/>
    <w:rsid w:val="3878347F"/>
    <w:rsid w:val="3B286573"/>
    <w:rsid w:val="466A2DDD"/>
    <w:rsid w:val="47434490"/>
    <w:rsid w:val="552623F5"/>
    <w:rsid w:val="55BD1B80"/>
    <w:rsid w:val="58CF7803"/>
    <w:rsid w:val="590F49C3"/>
    <w:rsid w:val="5AFD5792"/>
    <w:rsid w:val="5CFA6217"/>
    <w:rsid w:val="5DF55834"/>
    <w:rsid w:val="5F140E73"/>
    <w:rsid w:val="5FC10B5A"/>
    <w:rsid w:val="615D3CEF"/>
    <w:rsid w:val="621F4797"/>
    <w:rsid w:val="67636892"/>
    <w:rsid w:val="69FF60E3"/>
    <w:rsid w:val="6D143AD1"/>
    <w:rsid w:val="6F4F47C6"/>
    <w:rsid w:val="6F730CC4"/>
    <w:rsid w:val="6F766EB1"/>
    <w:rsid w:val="6FE53A53"/>
    <w:rsid w:val="70896E68"/>
    <w:rsid w:val="71067200"/>
    <w:rsid w:val="73EA7DAD"/>
    <w:rsid w:val="743A0594"/>
    <w:rsid w:val="75561204"/>
    <w:rsid w:val="78A011DA"/>
    <w:rsid w:val="7AAF4D15"/>
    <w:rsid w:val="7BEA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24</TotalTime>
  <ScaleCrop>false</ScaleCrop>
  <LinksUpToDate>false</LinksUpToDate>
  <CharactersWithSpaces>10542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2020-01-17T11:19:00Z</cp:lastPrinted>
  <dcterms:modified xsi:type="dcterms:W3CDTF">2021-08-17T10:41:42Z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FD1A0D04B1844BBDB0EB8D205983C918</vt:lpwstr>
  </property>
</Properties>
</file>