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仿宋" w:eastAsia="黑体"/>
          <w:sz w:val="32"/>
          <w:szCs w:val="32"/>
        </w:rPr>
      </w:pPr>
      <w:r>
        <w:rPr>
          <w:rFonts w:hint="eastAsia" w:ascii="黑体" w:hAnsi="仿宋" w:eastAsia="黑体"/>
          <w:sz w:val="32"/>
          <w:szCs w:val="32"/>
        </w:rPr>
        <w:t>附件：</w:t>
      </w:r>
    </w:p>
    <w:p>
      <w:pPr>
        <w:spacing w:line="600" w:lineRule="exact"/>
        <w:ind w:firstLine="4675" w:firstLineChars="1461"/>
        <w:rPr>
          <w:rFonts w:ascii="仿宋_GB2312" w:hAnsi="仿宋" w:eastAsia="仿宋_GB2312"/>
          <w:sz w:val="32"/>
          <w:szCs w:val="32"/>
        </w:rPr>
      </w:pPr>
    </w:p>
    <w:p>
      <w:pPr>
        <w:rPr>
          <w:rFonts w:ascii="宋体" w:cs="宋体"/>
          <w:b/>
          <w:bCs/>
          <w:kern w:val="0"/>
          <w:sz w:val="44"/>
          <w:szCs w:val="44"/>
        </w:rPr>
      </w:pPr>
    </w:p>
    <w:p>
      <w:pPr>
        <w:pStyle w:val="2"/>
        <w:ind w:left="31680" w:firstLine="31680"/>
      </w:pPr>
    </w:p>
    <w:p>
      <w:pPr>
        <w:rPr>
          <w:rFonts w:ascii="黑体" w:hAnsi="黑体" w:eastAsia="黑体"/>
          <w:sz w:val="32"/>
          <w:szCs w:val="32"/>
        </w:rPr>
      </w:pPr>
    </w:p>
    <w:p>
      <w:pPr>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克孜勒苏柯尔克孜自治州政策研究室</w:t>
      </w:r>
    </w:p>
    <w:p>
      <w:pPr>
        <w:widowControl/>
        <w:spacing w:before="100" w:beforeAutospacing="1" w:after="100" w:afterAutospacing="1"/>
        <w:jc w:val="center"/>
        <w:outlineLvl w:val="1"/>
        <w:rPr>
          <w:rFonts w:ascii="方正小标宋_GBK" w:hAnsi="宋体" w:eastAsia="方正小标宋_GBK"/>
          <w:kern w:val="0"/>
          <w:sz w:val="44"/>
          <w:szCs w:val="44"/>
        </w:rPr>
      </w:pPr>
      <w:r>
        <w:rPr>
          <w:rFonts w:ascii="方正小标宋_GBK" w:hAnsi="宋体" w:eastAsia="方正小标宋_GBK"/>
          <w:kern w:val="0"/>
          <w:sz w:val="44"/>
          <w:szCs w:val="44"/>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440" w:lineRule="exact"/>
        <w:jc w:val="center"/>
        <w:outlineLvl w:val="1"/>
        <w:rPr>
          <w:rFonts w:asci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克州党委政策研究室概况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年克州党委政策研究室预算公开表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年克州党委政策研究室预算情况说明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克州党委政策研究室</w:t>
      </w:r>
      <w:r>
        <w:rPr>
          <w:rFonts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九、关于克州党委政策研究室</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克州党委政策研究室概况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ascii="黑体" w:hAnsi="黑体" w:eastAsia="黑体" w:cs="宋体"/>
          <w:bCs/>
          <w:kern w:val="0"/>
          <w:sz w:val="32"/>
          <w:szCs w:val="32"/>
        </w:rPr>
        <w:t xml:space="preserve">   </w:t>
      </w:r>
      <w:r>
        <w:rPr>
          <w:rFonts w:ascii="仿宋_GB2312" w:hAnsi="黑体" w:eastAsia="仿宋_GB2312" w:cs="宋体"/>
          <w:bCs/>
          <w:kern w:val="0"/>
          <w:sz w:val="32"/>
          <w:szCs w:val="32"/>
        </w:rPr>
        <w:t xml:space="preserve"> </w:t>
      </w:r>
      <w:r>
        <w:rPr>
          <w:rFonts w:hint="eastAsia" w:ascii="仿宋_GB2312" w:eastAsia="仿宋_GB2312"/>
          <w:sz w:val="32"/>
          <w:szCs w:val="32"/>
        </w:rPr>
        <w:t>克州党委政策研究室主要职责是围绕州委中心工作和决策部署，开展调查研究，当好州委、州政府的智囊团和信息库，为州委决策提供好的政策建议和参考依据，探索和研究经济社会发展中的新情况新问题，发挥参谋助手作用，并协助州委、州政府把好政策关、文字关。</w:t>
      </w:r>
      <w:r>
        <w:rPr>
          <w:rFonts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克州党委政策研究室单位无下属预算单位，下设</w:t>
      </w:r>
      <w:r>
        <w:rPr>
          <w:rFonts w:ascii="仿宋_GB2312" w:hAnsi="黑体" w:eastAsia="仿宋_GB2312" w:cs="宋体"/>
          <w:bCs/>
          <w:kern w:val="0"/>
          <w:sz w:val="32"/>
          <w:szCs w:val="32"/>
        </w:rPr>
        <w:t>3</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rPr>
        <w:t>政策研究科、深化改革科、综合中心。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克州党委政策研究室</w:t>
      </w:r>
      <w:r>
        <w:rPr>
          <w:rFonts w:hint="eastAsia" w:ascii="仿宋_GB2312" w:hAnsi="宋体" w:eastAsia="仿宋_GB2312" w:cs="宋体"/>
          <w:kern w:val="0"/>
          <w:sz w:val="32"/>
          <w:szCs w:val="32"/>
        </w:rPr>
        <w:t>单位编制数</w:t>
      </w:r>
      <w:r>
        <w:rPr>
          <w:rFonts w:ascii="仿宋_GB2312" w:hAnsi="宋体" w:eastAsia="仿宋_GB2312" w:cs="宋体"/>
          <w:kern w:val="0"/>
          <w:sz w:val="32"/>
          <w:szCs w:val="32"/>
        </w:rPr>
        <w:t>11</w:t>
      </w:r>
      <w:r>
        <w:rPr>
          <w:rFonts w:hint="eastAsia" w:ascii="仿宋_GB2312" w:hAnsi="宋体" w:eastAsia="仿宋_GB2312" w:cs="宋体"/>
          <w:kern w:val="0"/>
          <w:sz w:val="32"/>
          <w:szCs w:val="32"/>
        </w:rPr>
        <w:t>人，实有人数</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退休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pStyle w:val="2"/>
        <w:ind w:left="31680" w:firstLine="31680"/>
      </w:pPr>
    </w:p>
    <w:p>
      <w:pPr>
        <w:pStyle w:val="2"/>
        <w:ind w:left="31680" w:firstLine="31680"/>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年克州党委政策研究室预算公开表</w:t>
      </w:r>
    </w:p>
    <w:p>
      <w:pPr>
        <w:widowControl/>
        <w:spacing w:line="280" w:lineRule="exact"/>
        <w:outlineLvl w:val="1"/>
        <w:rPr>
          <w:rFonts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p>
    <w:p>
      <w:pPr>
        <w:pStyle w:val="2"/>
        <w:ind w:left="31680" w:firstLine="31680"/>
      </w:pPr>
    </w:p>
    <w:p>
      <w:pPr>
        <w:pStyle w:val="2"/>
        <w:ind w:left="31680" w:firstLine="31680"/>
      </w:pP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编制部门（单位）：克州党委政策研究室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107.81</w:t>
            </w: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107.81</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107.81</w:t>
            </w: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单位其他资金收入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上级专项收入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210</w:t>
            </w:r>
            <w:r>
              <w:rPr>
                <w:rFonts w:hint="eastAsia" w:ascii="宋体" w:hAnsi="宋体"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宋体"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 xml:space="preserve">234 </w:t>
            </w:r>
            <w:r>
              <w:rPr>
                <w:rFonts w:hint="eastAsia" w:ascii="宋体" w:hAnsi="宋体" w:cs="宋体"/>
                <w:color w:val="000000"/>
                <w:kern w:val="0"/>
                <w:sz w:val="18"/>
                <w:szCs w:val="18"/>
              </w:rPr>
              <w:t>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宋体"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kern w:val="0"/>
                <w:sz w:val="18"/>
                <w:szCs w:val="18"/>
              </w:rPr>
            </w:pP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107.81</w:t>
            </w:r>
          </w:p>
        </w:tc>
        <w:tc>
          <w:tcPr>
            <w:tcW w:w="2693" w:type="dxa"/>
            <w:tcBorders>
              <w:top w:val="nil"/>
              <w:left w:val="nil"/>
              <w:bottom w:val="single" w:color="auto" w:sz="4" w:space="0"/>
              <w:right w:val="nil"/>
            </w:tcBorders>
            <w:noWrap/>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107.81</w:t>
            </w:r>
          </w:p>
        </w:tc>
      </w:tr>
    </w:tbl>
    <w:p>
      <w:pPr>
        <w:widowControl/>
        <w:spacing w:line="280" w:lineRule="exac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编制部门（单位）：克州党委政策研究室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116" w:type="dxa"/>
        <w:tblInd w:w="0" w:type="dxa"/>
        <w:tblLayout w:type="fixed"/>
        <w:tblCellMar>
          <w:top w:w="0" w:type="dxa"/>
          <w:left w:w="108" w:type="dxa"/>
          <w:bottom w:w="0" w:type="dxa"/>
          <w:right w:w="108" w:type="dxa"/>
        </w:tblCellMar>
      </w:tblPr>
      <w:tblGrid>
        <w:gridCol w:w="541"/>
        <w:gridCol w:w="434"/>
        <w:gridCol w:w="434"/>
        <w:gridCol w:w="1061"/>
        <w:gridCol w:w="846"/>
        <w:gridCol w:w="902"/>
        <w:gridCol w:w="509"/>
        <w:gridCol w:w="710"/>
        <w:gridCol w:w="451"/>
        <w:gridCol w:w="428"/>
        <w:gridCol w:w="497"/>
        <w:gridCol w:w="497"/>
        <w:gridCol w:w="474"/>
        <w:gridCol w:w="531"/>
        <w:gridCol w:w="801"/>
      </w:tblGrid>
      <w:tr>
        <w:tblPrEx>
          <w:tblLayout w:type="fixed"/>
          <w:tblCellMar>
            <w:top w:w="0" w:type="dxa"/>
            <w:left w:w="108" w:type="dxa"/>
            <w:bottom w:w="0" w:type="dxa"/>
            <w:right w:w="108" w:type="dxa"/>
          </w:tblCellMar>
        </w:tblPrEx>
        <w:trPr>
          <w:trHeight w:val="2671" w:hRule="atLeast"/>
        </w:trPr>
        <w:tc>
          <w:tcPr>
            <w:tcW w:w="14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6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4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90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1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8"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80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201</w:t>
            </w: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p>
        </w:tc>
        <w:tc>
          <w:tcPr>
            <w:tcW w:w="1061"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201</w:t>
            </w: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31</w:t>
            </w: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p>
        </w:tc>
        <w:tc>
          <w:tcPr>
            <w:tcW w:w="1061" w:type="dxa"/>
            <w:tcBorders>
              <w:top w:val="nil"/>
              <w:left w:val="nil"/>
              <w:bottom w:val="single" w:color="auto" w:sz="4" w:space="0"/>
              <w:right w:val="single" w:color="auto" w:sz="4" w:space="0"/>
            </w:tcBorders>
            <w:vAlign w:val="center"/>
          </w:tcPr>
          <w:p>
            <w:pPr>
              <w:rPr>
                <w:rFonts w:ascii="宋体"/>
                <w:color w:val="000000"/>
                <w:sz w:val="18"/>
                <w:szCs w:val="18"/>
              </w:rPr>
            </w:pPr>
            <w:r>
              <w:rPr>
                <w:rFonts w:hint="eastAsia" w:ascii="宋体"/>
                <w:color w:val="000000"/>
                <w:sz w:val="18"/>
                <w:szCs w:val="18"/>
              </w:rPr>
              <w:t>党委办公厅（室）及相关机构事务</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201</w:t>
            </w: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31</w:t>
            </w: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01</w:t>
            </w: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行政运行（党委办公厅（室）及相关机构事务）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single" w:color="auto" w:sz="4" w:space="0"/>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465"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single" w:color="auto" w:sz="4" w:space="0"/>
              <w:bottom w:val="single" w:color="auto" w:sz="4" w:space="0"/>
              <w:right w:val="single" w:color="auto" w:sz="4" w:space="0"/>
            </w:tcBorders>
          </w:tcPr>
          <w:p>
            <w:pPr>
              <w:jc w:val="right"/>
              <w:rPr>
                <w:rFonts w:ascii="宋体"/>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583"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rPr>
                <w:rFonts w:ascii="宋体" w:cs="宋体"/>
                <w:color w:val="000000"/>
                <w:szCs w:val="21"/>
              </w:rPr>
            </w:pP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single" w:color="auto" w:sz="4" w:space="0"/>
              <w:left w:val="nil"/>
              <w:bottom w:val="single" w:color="auto" w:sz="4" w:space="0"/>
              <w:right w:val="nil"/>
            </w:tcBorders>
          </w:tcPr>
          <w:p>
            <w:pPr>
              <w:jc w:val="right"/>
              <w:rPr>
                <w:rFonts w:ascii="宋体"/>
                <w:color w:val="000000"/>
                <w:szCs w:val="21"/>
              </w:rPr>
            </w:pPr>
          </w:p>
        </w:tc>
        <w:tc>
          <w:tcPr>
            <w:tcW w:w="497" w:type="dxa"/>
            <w:tcBorders>
              <w:top w:val="single" w:color="auto" w:sz="4" w:space="0"/>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single" w:color="auto" w:sz="4" w:space="0"/>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r>
        <w:tblPrEx>
          <w:tblLayout w:type="fixed"/>
          <w:tblCellMar>
            <w:top w:w="0" w:type="dxa"/>
            <w:left w:w="108" w:type="dxa"/>
            <w:bottom w:w="0" w:type="dxa"/>
            <w:right w:w="108" w:type="dxa"/>
          </w:tblCellMar>
        </w:tblPrEx>
        <w:trPr>
          <w:trHeight w:val="681" w:hRule="atLeast"/>
        </w:trPr>
        <w:tc>
          <w:tcPr>
            <w:tcW w:w="541" w:type="dxa"/>
            <w:tcBorders>
              <w:top w:val="nil"/>
              <w:left w:val="single" w:color="auto" w:sz="4" w:space="0"/>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34"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1061" w:type="dxa"/>
            <w:tcBorders>
              <w:top w:val="nil"/>
              <w:left w:val="nil"/>
              <w:bottom w:val="single" w:color="auto" w:sz="4" w:space="0"/>
              <w:right w:val="single" w:color="auto" w:sz="4" w:space="0"/>
            </w:tcBorders>
            <w:vAlign w:val="center"/>
          </w:tcPr>
          <w:p>
            <w:pPr>
              <w:jc w:val="center"/>
              <w:rPr>
                <w:rFonts w:ascii="宋体" w:cs="宋体"/>
                <w:color w:val="000000"/>
                <w:szCs w:val="21"/>
              </w:rPr>
            </w:pPr>
            <w:r>
              <w:rPr>
                <w:rFonts w:hint="eastAsia" w:ascii="宋体" w:hAnsi="宋体"/>
                <w:b/>
                <w:bCs/>
                <w:color w:val="000000"/>
                <w:szCs w:val="21"/>
              </w:rPr>
              <w:t>合</w:t>
            </w:r>
            <w:r>
              <w:rPr>
                <w:rFonts w:ascii="宋体" w:hAnsi="宋体"/>
                <w:b/>
                <w:bCs/>
                <w:color w:val="000000"/>
                <w:szCs w:val="21"/>
              </w:rPr>
              <w:t xml:space="preserve">  </w:t>
            </w:r>
            <w:r>
              <w:rPr>
                <w:rFonts w:hint="eastAsia" w:ascii="宋体" w:hAnsi="宋体"/>
                <w:b/>
                <w:bCs/>
                <w:color w:val="000000"/>
                <w:szCs w:val="21"/>
              </w:rPr>
              <w:t>计</w:t>
            </w:r>
            <w:r>
              <w:rPr>
                <w:rFonts w:hint="eastAsia" w:ascii="宋体" w:hAnsi="宋体"/>
                <w:color w:val="000000"/>
                <w:szCs w:val="21"/>
              </w:rPr>
              <w:t>　</w:t>
            </w:r>
          </w:p>
        </w:tc>
        <w:tc>
          <w:tcPr>
            <w:tcW w:w="846"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902"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ascii="宋体" w:hAnsi="宋体"/>
                <w:color w:val="000000"/>
                <w:szCs w:val="21"/>
              </w:rPr>
              <w:t>107.81</w:t>
            </w:r>
            <w:r>
              <w:rPr>
                <w:rFonts w:hint="eastAsia" w:ascii="宋体" w:hAnsi="宋体"/>
                <w:color w:val="000000"/>
                <w:szCs w:val="21"/>
              </w:rPr>
              <w:t>　</w:t>
            </w:r>
          </w:p>
        </w:tc>
        <w:tc>
          <w:tcPr>
            <w:tcW w:w="509"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710"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51"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28" w:type="dxa"/>
            <w:tcBorders>
              <w:top w:val="nil"/>
              <w:left w:val="nil"/>
              <w:bottom w:val="single" w:color="auto" w:sz="4" w:space="0"/>
              <w:right w:val="nil"/>
            </w:tcBorders>
          </w:tcPr>
          <w:p>
            <w:pPr>
              <w:jc w:val="right"/>
              <w:rPr>
                <w:rFonts w:ascii="宋体"/>
                <w:color w:val="000000"/>
                <w:szCs w:val="21"/>
              </w:rPr>
            </w:pPr>
          </w:p>
        </w:tc>
        <w:tc>
          <w:tcPr>
            <w:tcW w:w="497"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97" w:type="dxa"/>
            <w:tcBorders>
              <w:top w:val="nil"/>
              <w:left w:val="nil"/>
              <w:bottom w:val="single" w:color="auto" w:sz="4" w:space="0"/>
              <w:right w:val="single" w:color="auto" w:sz="4" w:space="0"/>
            </w:tcBorders>
            <w:vAlign w:val="center"/>
          </w:tcPr>
          <w:p>
            <w:pPr>
              <w:jc w:val="right"/>
              <w:rPr>
                <w:rFonts w:ascii="宋体" w:cs="宋体"/>
                <w:color w:val="000000"/>
                <w:szCs w:val="21"/>
              </w:rPr>
            </w:pPr>
            <w:r>
              <w:rPr>
                <w:rFonts w:hint="eastAsia" w:ascii="宋体" w:hAnsi="宋体"/>
                <w:color w:val="000000"/>
                <w:szCs w:val="21"/>
              </w:rPr>
              <w:t>　</w:t>
            </w:r>
          </w:p>
        </w:tc>
        <w:tc>
          <w:tcPr>
            <w:tcW w:w="474"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531" w:type="dxa"/>
            <w:tcBorders>
              <w:top w:val="nil"/>
              <w:left w:val="nil"/>
              <w:bottom w:val="single" w:color="auto" w:sz="4" w:space="0"/>
              <w:right w:val="single" w:color="auto" w:sz="4" w:space="0"/>
            </w:tcBorders>
            <w:vAlign w:val="center"/>
          </w:tcPr>
          <w:p>
            <w:pPr>
              <w:jc w:val="right"/>
              <w:rPr>
                <w:rFonts w:ascii="宋体"/>
                <w:color w:val="000000"/>
                <w:szCs w:val="21"/>
              </w:rPr>
            </w:pPr>
          </w:p>
        </w:tc>
        <w:tc>
          <w:tcPr>
            <w:tcW w:w="801" w:type="dxa"/>
            <w:tcBorders>
              <w:top w:val="nil"/>
              <w:left w:val="nil"/>
              <w:bottom w:val="single" w:color="auto" w:sz="4" w:space="0"/>
              <w:right w:val="single" w:color="auto" w:sz="4" w:space="0"/>
            </w:tcBorders>
            <w:vAlign w:val="center"/>
          </w:tcPr>
          <w:p>
            <w:pPr>
              <w:jc w:val="right"/>
              <w:rPr>
                <w:rFonts w:ascii="宋体"/>
                <w:color w:val="000000"/>
                <w:szCs w:val="21"/>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编制部门（单位）：克州党委政策研究室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8876" w:type="dxa"/>
        <w:tblInd w:w="0" w:type="dxa"/>
        <w:tblLayout w:type="fixed"/>
        <w:tblCellMar>
          <w:top w:w="0" w:type="dxa"/>
          <w:left w:w="108" w:type="dxa"/>
          <w:bottom w:w="0" w:type="dxa"/>
          <w:right w:w="108" w:type="dxa"/>
        </w:tblCellMar>
      </w:tblPr>
      <w:tblGrid>
        <w:gridCol w:w="643"/>
        <w:gridCol w:w="530"/>
        <w:gridCol w:w="531"/>
        <w:gridCol w:w="4077"/>
        <w:gridCol w:w="1129"/>
        <w:gridCol w:w="1009"/>
        <w:gridCol w:w="957"/>
      </w:tblGrid>
      <w:tr>
        <w:tblPrEx>
          <w:tblLayout w:type="fixed"/>
          <w:tblCellMar>
            <w:top w:w="0" w:type="dxa"/>
            <w:left w:w="108" w:type="dxa"/>
            <w:bottom w:w="0" w:type="dxa"/>
            <w:right w:w="108" w:type="dxa"/>
          </w:tblCellMar>
        </w:tblPrEx>
        <w:trPr>
          <w:trHeight w:val="345" w:hRule="atLeast"/>
        </w:trPr>
        <w:tc>
          <w:tcPr>
            <w:tcW w:w="5781"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309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70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407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12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00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95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407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12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00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95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p>
        </w:tc>
        <w:tc>
          <w:tcPr>
            <w:tcW w:w="407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107.81</w:t>
            </w:r>
            <w:r>
              <w:rPr>
                <w:rFonts w:hint="eastAsia" w:ascii="宋体" w:hAnsi="宋体" w:cs="宋体"/>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95.81</w:t>
            </w:r>
            <w:r>
              <w:rPr>
                <w:rFonts w:hint="eastAsia" w:ascii="宋体" w:hAnsi="宋体" w:cs="宋体"/>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12.0</w:t>
            </w: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cs="宋体"/>
                <w:sz w:val="18"/>
                <w:szCs w:val="18"/>
              </w:rPr>
              <w:t>201</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31</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p>
        </w:tc>
        <w:tc>
          <w:tcPr>
            <w:tcW w:w="4077" w:type="dxa"/>
            <w:tcBorders>
              <w:top w:val="nil"/>
              <w:left w:val="nil"/>
              <w:bottom w:val="single" w:color="auto" w:sz="4" w:space="0"/>
              <w:right w:val="single" w:color="auto" w:sz="4" w:space="0"/>
            </w:tcBorders>
            <w:vAlign w:val="center"/>
          </w:tcPr>
          <w:p>
            <w:pPr>
              <w:rPr>
                <w:rFonts w:ascii="宋体"/>
                <w:color w:val="000000"/>
                <w:sz w:val="18"/>
                <w:szCs w:val="18"/>
              </w:rPr>
            </w:pPr>
            <w:r>
              <w:rPr>
                <w:rFonts w:hint="eastAsia" w:ascii="宋体"/>
                <w:color w:val="000000"/>
                <w:sz w:val="18"/>
                <w:szCs w:val="18"/>
              </w:rPr>
              <w:t>党委办公厅（室）及相关机构事务</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107.81</w:t>
            </w:r>
            <w:r>
              <w:rPr>
                <w:rFonts w:hint="eastAsia" w:ascii="宋体" w:hAnsi="宋体" w:cs="宋体"/>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95.81</w:t>
            </w:r>
            <w:r>
              <w:rPr>
                <w:rFonts w:hint="eastAsia" w:ascii="宋体" w:hAnsi="宋体" w:cs="宋体"/>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12.0</w:t>
            </w: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201</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31</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01</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行政运行（党委办公厅（室）及相关机构事务）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107.81</w:t>
            </w:r>
            <w:r>
              <w:rPr>
                <w:rFonts w:hint="eastAsia" w:ascii="宋体" w:hAnsi="宋体" w:cs="宋体"/>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95.81</w:t>
            </w:r>
            <w:r>
              <w:rPr>
                <w:rFonts w:hint="eastAsia" w:ascii="宋体" w:hAnsi="宋体" w:cs="宋体"/>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12.0</w:t>
            </w: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64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579" w:hRule="atLeast"/>
        </w:trPr>
        <w:tc>
          <w:tcPr>
            <w:tcW w:w="6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color w:val="000000"/>
                <w:kern w:val="0"/>
                <w:szCs w:val="21"/>
              </w:rPr>
            </w:pPr>
          </w:p>
        </w:tc>
        <w:tc>
          <w:tcPr>
            <w:tcW w:w="530"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p>
        </w:tc>
        <w:tc>
          <w:tcPr>
            <w:tcW w:w="407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b/>
                <w:bCs/>
                <w:color w:val="000000"/>
                <w:kern w:val="0"/>
                <w:szCs w:val="21"/>
              </w:rPr>
              <w:t>合</w:t>
            </w:r>
            <w:r>
              <w:rPr>
                <w:rFonts w:ascii="宋体" w:hAnsi="宋体" w:cs="宋体"/>
                <w:b/>
                <w:bCs/>
                <w:color w:val="000000"/>
                <w:kern w:val="0"/>
                <w:szCs w:val="21"/>
              </w:rPr>
              <w:t xml:space="preserve">  </w:t>
            </w:r>
            <w:r>
              <w:rPr>
                <w:rFonts w:hint="eastAsia" w:ascii="宋体" w:hAnsi="宋体" w:cs="宋体"/>
                <w:b/>
                <w:bCs/>
                <w:color w:val="000000"/>
                <w:kern w:val="0"/>
                <w:szCs w:val="21"/>
              </w:rPr>
              <w:t>计</w:t>
            </w:r>
          </w:p>
        </w:tc>
        <w:tc>
          <w:tcPr>
            <w:tcW w:w="112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107.81</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95.81</w:t>
            </w:r>
          </w:p>
        </w:tc>
        <w:tc>
          <w:tcPr>
            <w:tcW w:w="9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12.0</w:t>
            </w:r>
          </w:p>
        </w:tc>
      </w:tr>
    </w:tbl>
    <w:p>
      <w:pPr>
        <w:widowControl/>
        <w:spacing w:beforeLines="50" w:line="280" w:lineRule="exact"/>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编制部门（单位）：克州党委政策研究室</w:t>
      </w:r>
      <w:r>
        <w:rPr>
          <w:rFonts w:ascii="仿宋_GB2312" w:hAnsi="宋体" w:eastAsia="仿宋_GB2312"/>
          <w:kern w:val="0"/>
          <w:szCs w:val="21"/>
        </w:rPr>
        <w:t xml:space="preserve">                                </w:t>
      </w:r>
      <w:r>
        <w:rPr>
          <w:rFonts w:hint="eastAsia" w:ascii="仿宋_GB2312" w:hAnsi="宋体" w:eastAsia="仿宋_GB2312"/>
          <w:kern w:val="0"/>
          <w:szCs w:val="21"/>
        </w:rPr>
        <w:t>单位：万元</w:t>
      </w:r>
    </w:p>
    <w:tbl>
      <w:tblPr>
        <w:tblStyle w:val="9"/>
        <w:tblW w:w="9054" w:type="dxa"/>
        <w:tblInd w:w="0" w:type="dxa"/>
        <w:tblLayout w:type="fixed"/>
        <w:tblCellMar>
          <w:top w:w="0" w:type="dxa"/>
          <w:left w:w="108" w:type="dxa"/>
          <w:bottom w:w="0" w:type="dxa"/>
          <w:right w:w="108" w:type="dxa"/>
        </w:tblCellMar>
      </w:tblPr>
      <w:tblGrid>
        <w:gridCol w:w="2025"/>
        <w:gridCol w:w="1065"/>
        <w:gridCol w:w="2556"/>
        <w:gridCol w:w="1065"/>
        <w:gridCol w:w="1278"/>
        <w:gridCol w:w="1065"/>
      </w:tblGrid>
      <w:tr>
        <w:tblPrEx>
          <w:tblLayout w:type="fixed"/>
          <w:tblCellMar>
            <w:top w:w="0" w:type="dxa"/>
            <w:left w:w="108" w:type="dxa"/>
            <w:bottom w:w="0" w:type="dxa"/>
            <w:right w:w="108" w:type="dxa"/>
          </w:tblCellMar>
        </w:tblPrEx>
        <w:trPr>
          <w:trHeight w:val="285" w:hRule="atLeast"/>
        </w:trPr>
        <w:tc>
          <w:tcPr>
            <w:tcW w:w="309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964" w:type="dxa"/>
            <w:gridSpan w:val="4"/>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202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25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能</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分</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类</w:t>
            </w:r>
          </w:p>
        </w:tc>
        <w:tc>
          <w:tcPr>
            <w:tcW w:w="1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12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一、财政拨款（补助）</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107.81</w:t>
            </w: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107.81</w:t>
            </w: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107.81</w:t>
            </w: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107.81</w:t>
            </w: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ind w:right="360"/>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210 </w:t>
            </w:r>
            <w:r>
              <w:rPr>
                <w:rFonts w:hint="eastAsia" w:ascii="宋体" w:hAnsi="宋体" w:cs="宋体"/>
                <w:kern w:val="0"/>
                <w:sz w:val="18"/>
                <w:szCs w:val="18"/>
              </w:rPr>
              <w:t>卫生健康支出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粮油物资储备支出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ascii="宋体" w:hAnsi="宋体" w:cs="宋体"/>
                <w:kern w:val="0"/>
                <w:sz w:val="18"/>
                <w:szCs w:val="18"/>
              </w:rPr>
              <w:t xml:space="preserve">234 </w:t>
            </w:r>
            <w:r>
              <w:rPr>
                <w:rFonts w:hint="eastAsia" w:ascii="宋体" w:hAnsi="宋体" w:cs="宋体"/>
                <w:kern w:val="0"/>
                <w:sz w:val="18"/>
                <w:szCs w:val="18"/>
              </w:rPr>
              <w:t>抗疫特别国债还本支出</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p>
        </w:tc>
        <w:tc>
          <w:tcPr>
            <w:tcW w:w="1065" w:type="dxa"/>
            <w:tcBorders>
              <w:top w:val="nil"/>
              <w:left w:val="nil"/>
              <w:bottom w:val="single" w:color="auto" w:sz="4" w:space="0"/>
              <w:right w:val="single" w:color="auto" w:sz="4" w:space="0"/>
            </w:tcBorders>
            <w:noWrap/>
            <w:vAlign w:val="bottom"/>
          </w:tcPr>
          <w:p>
            <w:pPr>
              <w:widowControl/>
              <w:jc w:val="left"/>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25"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06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107.81</w:t>
            </w:r>
            <w:r>
              <w:rPr>
                <w:rFonts w:hint="eastAsia" w:ascii="宋体" w:hAnsi="宋体" w:cs="宋体"/>
                <w:color w:val="000000"/>
                <w:kern w:val="0"/>
                <w:sz w:val="18"/>
                <w:szCs w:val="18"/>
              </w:rPr>
              <w:t>　</w:t>
            </w:r>
          </w:p>
        </w:tc>
        <w:tc>
          <w:tcPr>
            <w:tcW w:w="2556" w:type="dxa"/>
            <w:tcBorders>
              <w:top w:val="nil"/>
              <w:left w:val="nil"/>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color w:val="000000"/>
                <w:kern w:val="0"/>
                <w:sz w:val="18"/>
                <w:szCs w:val="18"/>
              </w:rPr>
              <w:t>107.81</w:t>
            </w:r>
            <w:r>
              <w:rPr>
                <w:rFonts w:hint="eastAsia" w:ascii="宋体" w:hAnsi="宋体" w:cs="宋体"/>
                <w:color w:val="000000"/>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color w:val="000000"/>
                <w:kern w:val="0"/>
                <w:sz w:val="18"/>
                <w:szCs w:val="18"/>
              </w:rPr>
              <w:t>107.81</w:t>
            </w:r>
            <w:r>
              <w:rPr>
                <w:rFonts w:hint="eastAsia" w:ascii="宋体" w:hAnsi="宋体" w:cs="宋体"/>
                <w:color w:val="000000"/>
                <w:kern w:val="0"/>
                <w:sz w:val="18"/>
                <w:szCs w:val="18"/>
              </w:rPr>
              <w:t>　</w:t>
            </w:r>
          </w:p>
        </w:tc>
        <w:tc>
          <w:tcPr>
            <w:tcW w:w="106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9"/>
        <w:tblW w:w="9214" w:type="dxa"/>
        <w:tblInd w:w="-34" w:type="dxa"/>
        <w:tblLayout w:type="fixed"/>
        <w:tblCellMar>
          <w:top w:w="0" w:type="dxa"/>
          <w:left w:w="108" w:type="dxa"/>
          <w:bottom w:w="0" w:type="dxa"/>
          <w:right w:w="108" w:type="dxa"/>
        </w:tblCellMar>
      </w:tblPr>
      <w:tblGrid>
        <w:gridCol w:w="568"/>
        <w:gridCol w:w="492"/>
        <w:gridCol w:w="573"/>
        <w:gridCol w:w="2354"/>
        <w:gridCol w:w="168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5887" w:type="dxa"/>
            <w:gridSpan w:val="6"/>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编制部门（单位）：克州党委政策研究室</w:t>
            </w:r>
          </w:p>
        </w:tc>
        <w:tc>
          <w:tcPr>
            <w:tcW w:w="3327" w:type="dxa"/>
            <w:gridSpan w:val="2"/>
            <w:tcBorders>
              <w:top w:val="nil"/>
              <w:left w:val="nil"/>
              <w:bottom w:val="nil"/>
              <w:right w:val="nil"/>
            </w:tcBorders>
            <w:noWrap/>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63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492"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p>
        </w:tc>
        <w:tc>
          <w:tcPr>
            <w:tcW w:w="573"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2354"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107.81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95.81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12.0</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color w:val="000000"/>
                <w:sz w:val="18"/>
                <w:szCs w:val="18"/>
              </w:rPr>
              <w:t>党委办公厅（室）及相关机构事务</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107.81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95.81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12.0</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31</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01</w:t>
            </w:r>
          </w:p>
        </w:tc>
        <w:tc>
          <w:tcPr>
            <w:tcW w:w="2354" w:type="dxa"/>
            <w:tcBorders>
              <w:top w:val="nil"/>
              <w:left w:val="nil"/>
              <w:bottom w:val="single" w:color="auto" w:sz="4" w:space="0"/>
              <w:right w:val="single" w:color="auto" w:sz="4" w:space="0"/>
            </w:tcBorders>
            <w:vAlign w:val="center"/>
          </w:tcPr>
          <w:p>
            <w:pPr>
              <w:widowControl/>
              <w:jc w:val="left"/>
              <w:rPr>
                <w:rFonts w:ascii="宋体" w:cs="宋体"/>
                <w:bCs/>
                <w:color w:val="000000"/>
                <w:kern w:val="0"/>
                <w:szCs w:val="21"/>
              </w:rPr>
            </w:pPr>
            <w:r>
              <w:rPr>
                <w:rFonts w:hint="eastAsia" w:ascii="宋体" w:hAnsi="宋体" w:cs="宋体"/>
                <w:bCs/>
                <w:color w:val="000000"/>
                <w:kern w:val="0"/>
                <w:szCs w:val="21"/>
              </w:rPr>
              <w:t>行政运行（党委办公厅（室）及相关机构事务）</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107.81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95.81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Cs w:val="21"/>
              </w:rPr>
            </w:pPr>
            <w:r>
              <w:rPr>
                <w:rFonts w:ascii="宋体" w:hAnsi="宋体" w:cs="宋体"/>
                <w:bCs/>
                <w:color w:val="000000"/>
                <w:kern w:val="0"/>
                <w:szCs w:val="21"/>
              </w:rPr>
              <w:t>12.0</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r>
      <w:tr>
        <w:tblPrEx>
          <w:tblLayout w:type="fixed"/>
          <w:tblCellMar>
            <w:top w:w="0" w:type="dxa"/>
            <w:left w:w="108" w:type="dxa"/>
            <w:bottom w:w="0" w:type="dxa"/>
            <w:right w:w="108" w:type="dxa"/>
          </w:tblCellMar>
        </w:tblPrEx>
        <w:trPr>
          <w:trHeight w:val="51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2354"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b/>
                <w:bCs/>
                <w:color w:val="000000"/>
                <w:kern w:val="0"/>
                <w:szCs w:val="21"/>
              </w:rPr>
              <w:t>合</w:t>
            </w:r>
            <w:r>
              <w:rPr>
                <w:rFonts w:ascii="宋体" w:hAnsi="宋体" w:cs="宋体"/>
                <w:b/>
                <w:bCs/>
                <w:color w:val="000000"/>
                <w:kern w:val="0"/>
                <w:szCs w:val="21"/>
              </w:rPr>
              <w:t xml:space="preserve">  </w:t>
            </w:r>
            <w:r>
              <w:rPr>
                <w:rFonts w:hint="eastAsia" w:ascii="宋体" w:hAnsi="宋体" w:cs="宋体"/>
                <w:b/>
                <w:bCs/>
                <w:color w:val="000000"/>
                <w:kern w:val="0"/>
                <w:szCs w:val="21"/>
              </w:rPr>
              <w:t>计</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107.81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95.81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12.0</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9"/>
        <w:tblW w:w="9328" w:type="dxa"/>
        <w:tblInd w:w="-148" w:type="dxa"/>
        <w:tblLayout w:type="fixed"/>
        <w:tblCellMar>
          <w:top w:w="0" w:type="dxa"/>
          <w:left w:w="108" w:type="dxa"/>
          <w:bottom w:w="0" w:type="dxa"/>
          <w:right w:w="108" w:type="dxa"/>
        </w:tblCellMar>
      </w:tblPr>
      <w:tblGrid>
        <w:gridCol w:w="757"/>
        <w:gridCol w:w="662"/>
        <w:gridCol w:w="2806"/>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5220" w:type="dxa"/>
            <w:gridSpan w:val="4"/>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编制部门（单位）：克州党委政策研究室</w:t>
            </w:r>
          </w:p>
        </w:tc>
        <w:tc>
          <w:tcPr>
            <w:tcW w:w="1682"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419"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0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450"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6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ascii="宋体" w:hAnsi="宋体" w:cs="宋体"/>
                <w:color w:val="000000"/>
                <w:kern w:val="0"/>
                <w:sz w:val="18"/>
                <w:szCs w:val="18"/>
              </w:rPr>
              <w:t>31</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ascii="宋体" w:hAnsi="宋体" w:cs="宋体"/>
                <w:color w:val="000000"/>
                <w:kern w:val="0"/>
                <w:sz w:val="18"/>
                <w:szCs w:val="18"/>
              </w:rPr>
              <w:t>42</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办公用品及设备采购</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01</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办公费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0.10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05</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水费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0.03</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0.03</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17</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公务接待费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0.60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0.60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18"/>
                <w:szCs w:val="18"/>
              </w:rPr>
              <w:t>301</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13</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7.07</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7.07</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303</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09</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奖励金</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0.03</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0.03</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301</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01</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基本工资</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28.53</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28.53</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11</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差旅费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0.47</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0.47</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13</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维修</w:t>
            </w:r>
            <w:r>
              <w:rPr>
                <w:rFonts w:ascii="宋体" w:hAnsi="宋体" w:cs="宋体"/>
                <w:color w:val="000000"/>
                <w:kern w:val="0"/>
                <w:sz w:val="18"/>
                <w:szCs w:val="18"/>
              </w:rPr>
              <w:t>(</w:t>
            </w:r>
            <w:r>
              <w:rPr>
                <w:rFonts w:hint="eastAsia" w:ascii="宋体" w:hAnsi="宋体" w:cs="宋体"/>
                <w:color w:val="000000"/>
                <w:kern w:val="0"/>
                <w:sz w:val="18"/>
                <w:szCs w:val="18"/>
              </w:rPr>
              <w:t>护</w:t>
            </w:r>
            <w:r>
              <w:rPr>
                <w:rFonts w:ascii="宋体" w:hAnsi="宋体" w:cs="宋体"/>
                <w:color w:val="000000"/>
                <w:kern w:val="0"/>
                <w:sz w:val="18"/>
                <w:szCs w:val="18"/>
              </w:rPr>
              <w:t>)</w:t>
            </w:r>
            <w:r>
              <w:rPr>
                <w:rFonts w:hint="eastAsia" w:ascii="宋体" w:hAnsi="宋体" w:cs="宋体"/>
                <w:color w:val="000000"/>
                <w:kern w:val="0"/>
                <w:sz w:val="18"/>
                <w:szCs w:val="18"/>
              </w:rPr>
              <w:t>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0.10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28</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工会经费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0.41</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0.41</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99</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其他商品和服务支出</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301</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12</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4.75</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4.75</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07</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邮电费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0.30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0.30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301</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03</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奖金</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2.38</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2.38</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301</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02</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津贴补贴</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38.61</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38.61</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02</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印刷费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0.10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06</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电费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0.40</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0.40</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302</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29</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福利费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0.75</w:t>
            </w:r>
          </w:p>
        </w:tc>
        <w:tc>
          <w:tcPr>
            <w:tcW w:w="1701" w:type="dxa"/>
            <w:gridSpan w:val="2"/>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0.75</w:t>
            </w: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301</w:t>
            </w:r>
          </w:p>
        </w:tc>
        <w:tc>
          <w:tcPr>
            <w:tcW w:w="662" w:type="dxa"/>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8"/>
                <w:szCs w:val="18"/>
              </w:rPr>
              <w:t>08</w:t>
            </w:r>
          </w:p>
        </w:tc>
        <w:tc>
          <w:tcPr>
            <w:tcW w:w="2806"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18"/>
                <w:szCs w:val="18"/>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9.78</w:t>
            </w:r>
          </w:p>
        </w:tc>
        <w:tc>
          <w:tcPr>
            <w:tcW w:w="1701" w:type="dxa"/>
            <w:gridSpan w:val="2"/>
            <w:tcBorders>
              <w:top w:val="nil"/>
              <w:left w:val="nil"/>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9.78</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6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0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95.81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91.15</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4.66</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9"/>
        <w:tblW w:w="9116" w:type="dxa"/>
        <w:tblInd w:w="0" w:type="dxa"/>
        <w:tblLayout w:type="fixed"/>
        <w:tblCellMar>
          <w:top w:w="0" w:type="dxa"/>
          <w:left w:w="108" w:type="dxa"/>
          <w:bottom w:w="0" w:type="dxa"/>
          <w:right w:w="108" w:type="dxa"/>
        </w:tblCellMar>
      </w:tblPr>
      <w:tblGrid>
        <w:gridCol w:w="532"/>
        <w:gridCol w:w="426"/>
        <w:gridCol w:w="426"/>
        <w:gridCol w:w="1067"/>
        <w:gridCol w:w="820"/>
        <w:gridCol w:w="652"/>
        <w:gridCol w:w="418"/>
        <w:gridCol w:w="656"/>
        <w:gridCol w:w="431"/>
        <w:gridCol w:w="431"/>
        <w:gridCol w:w="308"/>
        <w:gridCol w:w="308"/>
        <w:gridCol w:w="471"/>
        <w:gridCol w:w="744"/>
        <w:gridCol w:w="471"/>
        <w:gridCol w:w="545"/>
        <w:gridCol w:w="274"/>
        <w:gridCol w:w="136"/>
      </w:tblGrid>
      <w:tr>
        <w:tblPrEx>
          <w:tblLayout w:type="fixed"/>
          <w:tblCellMar>
            <w:top w:w="0" w:type="dxa"/>
            <w:left w:w="108" w:type="dxa"/>
            <w:bottom w:w="0" w:type="dxa"/>
            <w:right w:w="108" w:type="dxa"/>
          </w:tblCellMar>
        </w:tblPrEx>
        <w:trPr>
          <w:gridAfter w:val="1"/>
          <w:wAfter w:w="136" w:type="dxa"/>
          <w:trHeight w:val="375" w:hRule="atLeast"/>
        </w:trPr>
        <w:tc>
          <w:tcPr>
            <w:tcW w:w="8980" w:type="dxa"/>
            <w:gridSpan w:val="1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After w:val="1"/>
          <w:wAfter w:w="136" w:type="dxa"/>
          <w:trHeight w:val="405" w:hRule="atLeast"/>
        </w:trPr>
        <w:tc>
          <w:tcPr>
            <w:tcW w:w="4997" w:type="dxa"/>
            <w:gridSpan w:val="8"/>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编制部门（单位）：克州党委政策研究室</w:t>
            </w:r>
          </w:p>
        </w:tc>
        <w:tc>
          <w:tcPr>
            <w:tcW w:w="1170"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813" w:type="dxa"/>
            <w:gridSpan w:val="6"/>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84" w:type="dxa"/>
            <w:gridSpan w:val="3"/>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1067"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820" w:type="dxa"/>
            <w:vMerge w:val="restart"/>
            <w:noWrap/>
            <w:vAlign w:val="center"/>
          </w:tcPr>
          <w:p>
            <w:pPr>
              <w:jc w:val="center"/>
              <w:rPr>
                <w:rFonts w:ascii="Calibri" w:hAnsi="Calibri"/>
                <w:sz w:val="18"/>
                <w:szCs w:val="18"/>
              </w:rPr>
            </w:pPr>
            <w:r>
              <w:rPr>
                <w:rFonts w:hint="eastAsia" w:ascii="仿宋_GB2312" w:hAnsi="宋体" w:eastAsia="仿宋_GB2312"/>
                <w:b/>
                <w:kern w:val="0"/>
                <w:sz w:val="18"/>
                <w:szCs w:val="18"/>
              </w:rPr>
              <w:t>项目名称</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1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5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3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3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616"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7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74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7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54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10"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32"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6"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67" w:type="dxa"/>
            <w:vMerge w:val="continue"/>
            <w:vAlign w:val="center"/>
          </w:tcPr>
          <w:p>
            <w:pPr>
              <w:widowControl/>
              <w:jc w:val="left"/>
              <w:outlineLvl w:val="1"/>
              <w:rPr>
                <w:rFonts w:ascii="仿宋_GB2312" w:hAnsi="宋体" w:eastAsia="仿宋_GB2312"/>
                <w:b/>
                <w:kern w:val="0"/>
                <w:sz w:val="18"/>
                <w:szCs w:val="18"/>
              </w:rPr>
            </w:pPr>
          </w:p>
        </w:tc>
        <w:tc>
          <w:tcPr>
            <w:tcW w:w="820"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418" w:type="dxa"/>
            <w:vMerge w:val="continue"/>
          </w:tcPr>
          <w:p>
            <w:pPr>
              <w:widowControl/>
              <w:jc w:val="left"/>
              <w:outlineLvl w:val="1"/>
              <w:rPr>
                <w:rFonts w:ascii="仿宋_GB2312" w:hAnsi="宋体" w:eastAsia="仿宋_GB2312"/>
                <w:b/>
                <w:kern w:val="0"/>
                <w:sz w:val="18"/>
                <w:szCs w:val="18"/>
              </w:rPr>
            </w:pPr>
          </w:p>
        </w:tc>
        <w:tc>
          <w:tcPr>
            <w:tcW w:w="656" w:type="dxa"/>
            <w:vMerge w:val="continue"/>
          </w:tcPr>
          <w:p>
            <w:pPr>
              <w:widowControl/>
              <w:jc w:val="left"/>
              <w:outlineLvl w:val="1"/>
              <w:rPr>
                <w:rFonts w:ascii="仿宋_GB2312" w:hAnsi="宋体" w:eastAsia="仿宋_GB2312"/>
                <w:b/>
                <w:kern w:val="0"/>
                <w:sz w:val="18"/>
                <w:szCs w:val="18"/>
              </w:rPr>
            </w:pPr>
          </w:p>
        </w:tc>
        <w:tc>
          <w:tcPr>
            <w:tcW w:w="431" w:type="dxa"/>
            <w:vMerge w:val="continue"/>
          </w:tcPr>
          <w:p>
            <w:pPr>
              <w:widowControl/>
              <w:jc w:val="left"/>
              <w:outlineLvl w:val="1"/>
              <w:rPr>
                <w:rFonts w:ascii="仿宋_GB2312" w:hAnsi="宋体" w:eastAsia="仿宋_GB2312"/>
                <w:b/>
                <w:kern w:val="0"/>
                <w:sz w:val="18"/>
                <w:szCs w:val="18"/>
              </w:rPr>
            </w:pPr>
          </w:p>
        </w:tc>
        <w:tc>
          <w:tcPr>
            <w:tcW w:w="431" w:type="dxa"/>
            <w:vMerge w:val="continue"/>
          </w:tcPr>
          <w:p>
            <w:pPr>
              <w:widowControl/>
              <w:jc w:val="left"/>
              <w:outlineLvl w:val="1"/>
              <w:rPr>
                <w:rFonts w:ascii="仿宋_GB2312" w:hAnsi="宋体" w:eastAsia="仿宋_GB2312"/>
                <w:b/>
                <w:kern w:val="0"/>
                <w:sz w:val="18"/>
                <w:szCs w:val="18"/>
              </w:rPr>
            </w:pPr>
          </w:p>
        </w:tc>
        <w:tc>
          <w:tcPr>
            <w:tcW w:w="616" w:type="dxa"/>
            <w:gridSpan w:val="2"/>
            <w:vMerge w:val="continue"/>
          </w:tcPr>
          <w:p>
            <w:pPr>
              <w:widowControl/>
              <w:jc w:val="left"/>
              <w:outlineLvl w:val="1"/>
              <w:rPr>
                <w:rFonts w:ascii="仿宋_GB2312" w:hAnsi="宋体" w:eastAsia="仿宋_GB2312"/>
                <w:b/>
                <w:kern w:val="0"/>
                <w:sz w:val="18"/>
                <w:szCs w:val="18"/>
              </w:rPr>
            </w:pPr>
          </w:p>
        </w:tc>
        <w:tc>
          <w:tcPr>
            <w:tcW w:w="471" w:type="dxa"/>
            <w:vMerge w:val="continue"/>
          </w:tcPr>
          <w:p>
            <w:pPr>
              <w:widowControl/>
              <w:jc w:val="left"/>
              <w:outlineLvl w:val="1"/>
              <w:rPr>
                <w:rFonts w:ascii="仿宋_GB2312" w:hAnsi="宋体" w:eastAsia="仿宋_GB2312"/>
                <w:b/>
                <w:kern w:val="0"/>
                <w:sz w:val="18"/>
                <w:szCs w:val="18"/>
              </w:rPr>
            </w:pPr>
          </w:p>
        </w:tc>
        <w:tc>
          <w:tcPr>
            <w:tcW w:w="744" w:type="dxa"/>
            <w:vMerge w:val="continue"/>
          </w:tcPr>
          <w:p>
            <w:pPr>
              <w:widowControl/>
              <w:jc w:val="left"/>
              <w:outlineLvl w:val="1"/>
              <w:rPr>
                <w:rFonts w:ascii="仿宋_GB2312" w:hAnsi="宋体" w:eastAsia="仿宋_GB2312"/>
                <w:b/>
                <w:kern w:val="0"/>
                <w:sz w:val="18"/>
                <w:szCs w:val="18"/>
              </w:rPr>
            </w:pPr>
          </w:p>
        </w:tc>
        <w:tc>
          <w:tcPr>
            <w:tcW w:w="471" w:type="dxa"/>
            <w:vMerge w:val="continue"/>
          </w:tcPr>
          <w:p>
            <w:pPr>
              <w:widowControl/>
              <w:jc w:val="left"/>
              <w:outlineLvl w:val="1"/>
              <w:rPr>
                <w:rFonts w:ascii="仿宋_GB2312" w:hAnsi="宋体" w:eastAsia="仿宋_GB2312"/>
                <w:b/>
                <w:kern w:val="0"/>
                <w:sz w:val="18"/>
                <w:szCs w:val="18"/>
              </w:rPr>
            </w:pPr>
          </w:p>
        </w:tc>
        <w:tc>
          <w:tcPr>
            <w:tcW w:w="545" w:type="dxa"/>
            <w:vMerge w:val="continue"/>
          </w:tcPr>
          <w:p>
            <w:pPr>
              <w:widowControl/>
              <w:jc w:val="left"/>
              <w:outlineLvl w:val="1"/>
              <w:rPr>
                <w:rFonts w:ascii="仿宋_GB2312" w:hAnsi="宋体" w:eastAsia="仿宋_GB2312"/>
                <w:b/>
                <w:kern w:val="0"/>
                <w:sz w:val="18"/>
                <w:szCs w:val="18"/>
              </w:rPr>
            </w:pPr>
          </w:p>
        </w:tc>
        <w:tc>
          <w:tcPr>
            <w:tcW w:w="410" w:type="dxa"/>
            <w:gridSpan w:val="2"/>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vAlign w:val="center"/>
          </w:tcPr>
          <w:p>
            <w:pPr>
              <w:rPr>
                <w:rFonts w:ascii="宋体" w:cs="宋体"/>
                <w:sz w:val="18"/>
                <w:szCs w:val="18"/>
              </w:rPr>
            </w:pPr>
            <w:r>
              <w:rPr>
                <w:rFonts w:ascii="宋体" w:hAnsi="宋体"/>
                <w:sz w:val="18"/>
                <w:szCs w:val="18"/>
              </w:rPr>
              <w:t>201</w:t>
            </w:r>
          </w:p>
        </w:tc>
        <w:tc>
          <w:tcPr>
            <w:tcW w:w="426" w:type="dxa"/>
            <w:vAlign w:val="center"/>
          </w:tcPr>
          <w:p>
            <w:pPr>
              <w:rPr>
                <w:rFonts w:ascii="宋体" w:cs="宋体"/>
                <w:sz w:val="18"/>
                <w:szCs w:val="18"/>
              </w:rPr>
            </w:pPr>
          </w:p>
        </w:tc>
        <w:tc>
          <w:tcPr>
            <w:tcW w:w="426" w:type="dxa"/>
            <w:vAlign w:val="center"/>
          </w:tcPr>
          <w:p>
            <w:pPr>
              <w:rPr>
                <w:rFonts w:ascii="宋体" w:cs="宋体"/>
                <w:sz w:val="18"/>
                <w:szCs w:val="18"/>
              </w:rPr>
            </w:pPr>
          </w:p>
        </w:tc>
        <w:tc>
          <w:tcPr>
            <w:tcW w:w="1067" w:type="dxa"/>
            <w:vAlign w:val="center"/>
          </w:tcPr>
          <w:p>
            <w:pPr>
              <w:rPr>
                <w:rFonts w:ascii="宋体" w:cs="宋体"/>
                <w:sz w:val="18"/>
                <w:szCs w:val="18"/>
              </w:rPr>
            </w:pPr>
            <w:r>
              <w:rPr>
                <w:rFonts w:hint="eastAsia" w:ascii="宋体" w:cs="宋体"/>
                <w:sz w:val="18"/>
                <w:szCs w:val="18"/>
              </w:rPr>
              <w:t>一般公共服务支出</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vAlign w:val="center"/>
          </w:tcPr>
          <w:p>
            <w:pPr>
              <w:widowControl/>
              <w:jc w:val="center"/>
              <w:outlineLvl w:val="1"/>
              <w:rPr>
                <w:rFonts w:ascii="宋体" w:hAnsi="宋体"/>
                <w:kern w:val="0"/>
                <w:szCs w:val="21"/>
              </w:rPr>
            </w:pPr>
            <w:r>
              <w:rPr>
                <w:rFonts w:ascii="宋体" w:hAnsi="宋体"/>
                <w:kern w:val="0"/>
                <w:szCs w:val="21"/>
              </w:rPr>
              <w:t>12.0</w:t>
            </w:r>
          </w:p>
        </w:tc>
        <w:tc>
          <w:tcPr>
            <w:tcW w:w="418" w:type="dxa"/>
            <w:vAlign w:val="center"/>
          </w:tcPr>
          <w:p>
            <w:pPr>
              <w:widowControl/>
              <w:jc w:val="center"/>
              <w:outlineLvl w:val="1"/>
              <w:rPr>
                <w:rFonts w:ascii="宋体" w:hAnsi="宋体"/>
                <w:kern w:val="0"/>
                <w:szCs w:val="21"/>
              </w:rPr>
            </w:pPr>
          </w:p>
        </w:tc>
        <w:tc>
          <w:tcPr>
            <w:tcW w:w="656" w:type="dxa"/>
            <w:vAlign w:val="center"/>
          </w:tcPr>
          <w:p>
            <w:pPr>
              <w:widowControl/>
              <w:jc w:val="center"/>
              <w:outlineLvl w:val="1"/>
              <w:rPr>
                <w:rFonts w:ascii="宋体" w:hAnsi="宋体"/>
                <w:kern w:val="0"/>
                <w:szCs w:val="21"/>
              </w:rPr>
            </w:pPr>
            <w:r>
              <w:rPr>
                <w:rFonts w:ascii="宋体" w:hAnsi="宋体"/>
                <w:kern w:val="0"/>
                <w:szCs w:val="21"/>
              </w:rPr>
              <w:t>12.0</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vAlign w:val="center"/>
          </w:tcPr>
          <w:p>
            <w:pPr>
              <w:rPr>
                <w:rFonts w:ascii="宋体"/>
                <w:sz w:val="18"/>
                <w:szCs w:val="18"/>
              </w:rPr>
            </w:pPr>
            <w:r>
              <w:rPr>
                <w:rFonts w:ascii="宋体" w:hAnsi="宋体"/>
                <w:sz w:val="18"/>
                <w:szCs w:val="18"/>
              </w:rPr>
              <w:t>201</w:t>
            </w:r>
          </w:p>
        </w:tc>
        <w:tc>
          <w:tcPr>
            <w:tcW w:w="426" w:type="dxa"/>
            <w:vAlign w:val="center"/>
          </w:tcPr>
          <w:p>
            <w:pPr>
              <w:rPr>
                <w:rFonts w:ascii="宋体"/>
                <w:sz w:val="18"/>
                <w:szCs w:val="18"/>
              </w:rPr>
            </w:pPr>
            <w:r>
              <w:rPr>
                <w:rFonts w:ascii="宋体" w:hAnsi="宋体"/>
                <w:sz w:val="18"/>
                <w:szCs w:val="18"/>
              </w:rPr>
              <w:t>31</w:t>
            </w:r>
          </w:p>
        </w:tc>
        <w:tc>
          <w:tcPr>
            <w:tcW w:w="426" w:type="dxa"/>
            <w:vAlign w:val="center"/>
          </w:tcPr>
          <w:p>
            <w:pPr>
              <w:rPr>
                <w:rFonts w:ascii="宋体"/>
                <w:sz w:val="18"/>
                <w:szCs w:val="18"/>
              </w:rPr>
            </w:pPr>
          </w:p>
        </w:tc>
        <w:tc>
          <w:tcPr>
            <w:tcW w:w="1067" w:type="dxa"/>
            <w:vAlign w:val="center"/>
          </w:tcPr>
          <w:p>
            <w:pPr>
              <w:rPr>
                <w:rFonts w:ascii="宋体"/>
                <w:sz w:val="18"/>
                <w:szCs w:val="18"/>
              </w:rPr>
            </w:pPr>
            <w:r>
              <w:rPr>
                <w:rFonts w:hint="eastAsia" w:ascii="宋体" w:hAnsi="宋体"/>
                <w:sz w:val="18"/>
                <w:szCs w:val="18"/>
              </w:rPr>
              <w:t>党委办公厅（室）及相关机构事务</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vAlign w:val="center"/>
          </w:tcPr>
          <w:p>
            <w:pPr>
              <w:widowControl/>
              <w:jc w:val="center"/>
              <w:outlineLvl w:val="1"/>
              <w:rPr>
                <w:rFonts w:ascii="宋体" w:hAnsi="宋体"/>
                <w:kern w:val="0"/>
                <w:szCs w:val="21"/>
              </w:rPr>
            </w:pPr>
            <w:r>
              <w:rPr>
                <w:rFonts w:ascii="宋体" w:hAnsi="宋体"/>
                <w:kern w:val="0"/>
                <w:szCs w:val="21"/>
              </w:rPr>
              <w:t>12.0</w:t>
            </w:r>
          </w:p>
        </w:tc>
        <w:tc>
          <w:tcPr>
            <w:tcW w:w="418" w:type="dxa"/>
            <w:vAlign w:val="center"/>
          </w:tcPr>
          <w:p>
            <w:pPr>
              <w:widowControl/>
              <w:jc w:val="center"/>
              <w:outlineLvl w:val="1"/>
              <w:rPr>
                <w:rFonts w:ascii="宋体" w:hAnsi="宋体"/>
                <w:kern w:val="0"/>
                <w:szCs w:val="21"/>
              </w:rPr>
            </w:pPr>
          </w:p>
        </w:tc>
        <w:tc>
          <w:tcPr>
            <w:tcW w:w="656" w:type="dxa"/>
            <w:vAlign w:val="center"/>
          </w:tcPr>
          <w:p>
            <w:pPr>
              <w:widowControl/>
              <w:jc w:val="center"/>
              <w:outlineLvl w:val="1"/>
              <w:rPr>
                <w:rFonts w:ascii="宋体" w:hAnsi="宋体"/>
                <w:kern w:val="0"/>
                <w:szCs w:val="21"/>
              </w:rPr>
            </w:pPr>
            <w:r>
              <w:rPr>
                <w:rFonts w:ascii="宋体" w:hAnsi="宋体"/>
                <w:kern w:val="0"/>
                <w:szCs w:val="21"/>
              </w:rPr>
              <w:t>12.0</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vAlign w:val="center"/>
          </w:tcPr>
          <w:p>
            <w:pPr>
              <w:widowControl/>
              <w:jc w:val="center"/>
              <w:outlineLvl w:val="1"/>
              <w:rPr>
                <w:rFonts w:ascii="宋体" w:hAnsi="宋体"/>
                <w:kern w:val="0"/>
                <w:szCs w:val="21"/>
              </w:rPr>
            </w:pPr>
            <w:r>
              <w:rPr>
                <w:rFonts w:ascii="宋体" w:hAnsi="宋体"/>
                <w:kern w:val="0"/>
                <w:szCs w:val="21"/>
              </w:rPr>
              <w:t>201</w:t>
            </w:r>
          </w:p>
        </w:tc>
        <w:tc>
          <w:tcPr>
            <w:tcW w:w="426" w:type="dxa"/>
            <w:vAlign w:val="center"/>
          </w:tcPr>
          <w:p>
            <w:pPr>
              <w:widowControl/>
              <w:jc w:val="center"/>
              <w:outlineLvl w:val="1"/>
              <w:rPr>
                <w:rFonts w:ascii="宋体" w:hAnsi="宋体"/>
                <w:kern w:val="0"/>
                <w:szCs w:val="21"/>
              </w:rPr>
            </w:pPr>
            <w:r>
              <w:rPr>
                <w:rFonts w:ascii="宋体" w:hAnsi="宋体"/>
                <w:kern w:val="0"/>
                <w:szCs w:val="21"/>
              </w:rPr>
              <w:t>31</w:t>
            </w:r>
          </w:p>
        </w:tc>
        <w:tc>
          <w:tcPr>
            <w:tcW w:w="426" w:type="dxa"/>
            <w:vAlign w:val="center"/>
          </w:tcPr>
          <w:p>
            <w:pPr>
              <w:widowControl/>
              <w:jc w:val="center"/>
              <w:outlineLvl w:val="1"/>
              <w:rPr>
                <w:rFonts w:ascii="宋体" w:hAnsi="宋体"/>
                <w:kern w:val="0"/>
                <w:szCs w:val="21"/>
              </w:rPr>
            </w:pPr>
            <w:r>
              <w:rPr>
                <w:rFonts w:ascii="宋体" w:hAnsi="宋体"/>
                <w:kern w:val="0"/>
                <w:szCs w:val="21"/>
              </w:rPr>
              <w:t>01</w:t>
            </w:r>
          </w:p>
        </w:tc>
        <w:tc>
          <w:tcPr>
            <w:tcW w:w="1067" w:type="dxa"/>
            <w:vAlign w:val="center"/>
          </w:tcPr>
          <w:p>
            <w:pPr>
              <w:widowControl/>
              <w:outlineLvl w:val="1"/>
              <w:rPr>
                <w:rFonts w:ascii="宋体"/>
                <w:kern w:val="0"/>
                <w:szCs w:val="21"/>
              </w:rPr>
            </w:pPr>
            <w:r>
              <w:rPr>
                <w:rFonts w:hint="eastAsia" w:ascii="宋体" w:hAnsi="宋体"/>
                <w:kern w:val="0"/>
                <w:szCs w:val="21"/>
              </w:rPr>
              <w:t>行政运行（党委办公厅（室）及相关机构事务）</w:t>
            </w:r>
          </w:p>
        </w:tc>
        <w:tc>
          <w:tcPr>
            <w:tcW w:w="820" w:type="dxa"/>
            <w:vAlign w:val="center"/>
          </w:tcPr>
          <w:p>
            <w:pPr>
              <w:widowControl/>
              <w:jc w:val="center"/>
              <w:outlineLvl w:val="1"/>
              <w:rPr>
                <w:rFonts w:ascii="宋体"/>
                <w:kern w:val="0"/>
                <w:szCs w:val="21"/>
              </w:rPr>
            </w:pPr>
            <w:r>
              <w:rPr>
                <w:rFonts w:hint="eastAsia" w:ascii="宋体" w:hAnsi="宋体"/>
                <w:kern w:val="0"/>
                <w:szCs w:val="21"/>
              </w:rPr>
              <w:t>调研工作经费</w:t>
            </w:r>
          </w:p>
        </w:tc>
        <w:tc>
          <w:tcPr>
            <w:tcW w:w="652" w:type="dxa"/>
            <w:vAlign w:val="center"/>
          </w:tcPr>
          <w:p>
            <w:pPr>
              <w:widowControl/>
              <w:jc w:val="center"/>
              <w:outlineLvl w:val="1"/>
              <w:rPr>
                <w:rFonts w:ascii="宋体" w:hAnsi="宋体"/>
                <w:kern w:val="0"/>
                <w:szCs w:val="21"/>
              </w:rPr>
            </w:pPr>
            <w:r>
              <w:rPr>
                <w:rFonts w:ascii="宋体" w:hAnsi="宋体"/>
                <w:kern w:val="0"/>
                <w:szCs w:val="21"/>
              </w:rPr>
              <w:t>12.0</w:t>
            </w:r>
          </w:p>
        </w:tc>
        <w:tc>
          <w:tcPr>
            <w:tcW w:w="418" w:type="dxa"/>
            <w:vAlign w:val="center"/>
          </w:tcPr>
          <w:p>
            <w:pPr>
              <w:widowControl/>
              <w:jc w:val="center"/>
              <w:outlineLvl w:val="1"/>
              <w:rPr>
                <w:rFonts w:ascii="宋体" w:hAnsi="宋体"/>
                <w:kern w:val="0"/>
                <w:szCs w:val="21"/>
              </w:rPr>
            </w:pPr>
          </w:p>
        </w:tc>
        <w:tc>
          <w:tcPr>
            <w:tcW w:w="656" w:type="dxa"/>
            <w:vAlign w:val="center"/>
          </w:tcPr>
          <w:p>
            <w:pPr>
              <w:widowControl/>
              <w:jc w:val="center"/>
              <w:outlineLvl w:val="1"/>
              <w:rPr>
                <w:rFonts w:ascii="宋体" w:hAnsi="宋体"/>
                <w:kern w:val="0"/>
                <w:szCs w:val="21"/>
              </w:rPr>
            </w:pPr>
            <w:r>
              <w:rPr>
                <w:rFonts w:ascii="宋体" w:hAnsi="宋体"/>
                <w:kern w:val="0"/>
                <w:szCs w:val="21"/>
              </w:rPr>
              <w:t>12.0</w:t>
            </w:r>
          </w:p>
        </w:tc>
        <w:tc>
          <w:tcPr>
            <w:tcW w:w="431" w:type="dxa"/>
            <w:vAlign w:val="center"/>
          </w:tcPr>
          <w:p>
            <w:pPr>
              <w:widowControl/>
              <w:jc w:val="center"/>
              <w:outlineLvl w:val="1"/>
              <w:rPr>
                <w:rFonts w:ascii="宋体" w:hAnsi="宋体"/>
                <w:kern w:val="0"/>
                <w:szCs w:val="21"/>
              </w:rPr>
            </w:pPr>
          </w:p>
        </w:tc>
        <w:tc>
          <w:tcPr>
            <w:tcW w:w="431" w:type="dxa"/>
            <w:vAlign w:val="center"/>
          </w:tcPr>
          <w:p>
            <w:pPr>
              <w:widowControl/>
              <w:jc w:val="center"/>
              <w:outlineLvl w:val="1"/>
              <w:rPr>
                <w:rFonts w:ascii="宋体" w:hAnsi="宋体"/>
                <w:kern w:val="0"/>
                <w:szCs w:val="21"/>
              </w:rPr>
            </w:pPr>
          </w:p>
        </w:tc>
        <w:tc>
          <w:tcPr>
            <w:tcW w:w="616" w:type="dxa"/>
            <w:gridSpan w:val="2"/>
            <w:vAlign w:val="center"/>
          </w:tcPr>
          <w:p>
            <w:pPr>
              <w:widowControl/>
              <w:jc w:val="center"/>
              <w:outlineLvl w:val="1"/>
              <w:rPr>
                <w:rFonts w:ascii="宋体" w:hAnsi="宋体"/>
                <w:kern w:val="0"/>
                <w:szCs w:val="21"/>
              </w:rPr>
            </w:pPr>
          </w:p>
        </w:tc>
        <w:tc>
          <w:tcPr>
            <w:tcW w:w="471" w:type="dxa"/>
            <w:vAlign w:val="center"/>
          </w:tcPr>
          <w:p>
            <w:pPr>
              <w:widowControl/>
              <w:jc w:val="center"/>
              <w:outlineLvl w:val="1"/>
              <w:rPr>
                <w:rFonts w:ascii="宋体" w:hAnsi="宋体"/>
                <w:kern w:val="0"/>
                <w:szCs w:val="21"/>
              </w:rPr>
            </w:pPr>
          </w:p>
        </w:tc>
        <w:tc>
          <w:tcPr>
            <w:tcW w:w="744" w:type="dxa"/>
            <w:vAlign w:val="center"/>
          </w:tcPr>
          <w:p>
            <w:pPr>
              <w:widowControl/>
              <w:jc w:val="center"/>
              <w:outlineLvl w:val="1"/>
              <w:rPr>
                <w:rFonts w:ascii="宋体" w:hAnsi="宋体"/>
                <w:kern w:val="0"/>
                <w:szCs w:val="21"/>
              </w:rPr>
            </w:pPr>
          </w:p>
        </w:tc>
        <w:tc>
          <w:tcPr>
            <w:tcW w:w="471" w:type="dxa"/>
            <w:vAlign w:val="center"/>
          </w:tcPr>
          <w:p>
            <w:pPr>
              <w:widowControl/>
              <w:jc w:val="center"/>
              <w:outlineLvl w:val="1"/>
              <w:rPr>
                <w:rFonts w:ascii="宋体" w:hAnsi="宋体"/>
                <w:kern w:val="0"/>
                <w:szCs w:val="21"/>
              </w:rPr>
            </w:pPr>
          </w:p>
        </w:tc>
        <w:tc>
          <w:tcPr>
            <w:tcW w:w="545" w:type="dxa"/>
            <w:vAlign w:val="center"/>
          </w:tcPr>
          <w:p>
            <w:pPr>
              <w:widowControl/>
              <w:jc w:val="center"/>
              <w:outlineLvl w:val="1"/>
              <w:rPr>
                <w:rFonts w:ascii="宋体" w:hAnsi="宋体"/>
                <w:kern w:val="0"/>
                <w:szCs w:val="21"/>
              </w:rPr>
            </w:pPr>
          </w:p>
        </w:tc>
        <w:tc>
          <w:tcPr>
            <w:tcW w:w="410" w:type="dxa"/>
            <w:gridSpan w:val="2"/>
            <w:vAlign w:val="center"/>
          </w:tcPr>
          <w:p>
            <w:pPr>
              <w:widowControl/>
              <w:jc w:val="center"/>
              <w:outlineLvl w:val="1"/>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p>
        </w:tc>
        <w:tc>
          <w:tcPr>
            <w:tcW w:w="426" w:type="dxa"/>
          </w:tcPr>
          <w:p>
            <w:pPr>
              <w:widowControl/>
              <w:jc w:val="left"/>
              <w:outlineLvl w:val="1"/>
              <w:rPr>
                <w:rFonts w:ascii="宋体"/>
                <w:kern w:val="0"/>
                <w:szCs w:val="21"/>
              </w:rPr>
            </w:pPr>
          </w:p>
        </w:tc>
        <w:tc>
          <w:tcPr>
            <w:tcW w:w="426" w:type="dxa"/>
          </w:tcPr>
          <w:p>
            <w:pPr>
              <w:widowControl/>
              <w:jc w:val="left"/>
              <w:outlineLvl w:val="1"/>
              <w:rPr>
                <w:rFonts w:ascii="宋体"/>
                <w:kern w:val="0"/>
                <w:szCs w:val="21"/>
              </w:rPr>
            </w:pPr>
          </w:p>
        </w:tc>
        <w:tc>
          <w:tcPr>
            <w:tcW w:w="1067" w:type="dxa"/>
          </w:tcPr>
          <w:p>
            <w:pPr>
              <w:widowControl/>
              <w:jc w:val="left"/>
              <w:outlineLvl w:val="1"/>
              <w:rPr>
                <w:rFonts w:ascii="宋体"/>
                <w:kern w:val="0"/>
                <w:szCs w:val="21"/>
              </w:rPr>
            </w:pPr>
          </w:p>
        </w:tc>
        <w:tc>
          <w:tcPr>
            <w:tcW w:w="820" w:type="dxa"/>
          </w:tcPr>
          <w:p>
            <w:pPr>
              <w:widowControl/>
              <w:jc w:val="left"/>
              <w:outlineLvl w:val="1"/>
              <w:rPr>
                <w:rFonts w:ascii="宋体"/>
                <w:kern w:val="0"/>
                <w:szCs w:val="21"/>
              </w:rPr>
            </w:pPr>
          </w:p>
        </w:tc>
        <w:tc>
          <w:tcPr>
            <w:tcW w:w="652" w:type="dxa"/>
          </w:tcPr>
          <w:p>
            <w:pPr>
              <w:widowControl/>
              <w:jc w:val="left"/>
              <w:outlineLvl w:val="1"/>
              <w:rPr>
                <w:rFonts w:ascii="宋体"/>
                <w:kern w:val="0"/>
                <w:szCs w:val="21"/>
              </w:rPr>
            </w:pPr>
          </w:p>
        </w:tc>
        <w:tc>
          <w:tcPr>
            <w:tcW w:w="418" w:type="dxa"/>
          </w:tcPr>
          <w:p>
            <w:pPr>
              <w:widowControl/>
              <w:jc w:val="left"/>
              <w:outlineLvl w:val="1"/>
              <w:rPr>
                <w:rFonts w:ascii="宋体"/>
                <w:kern w:val="0"/>
                <w:szCs w:val="21"/>
              </w:rPr>
            </w:pPr>
          </w:p>
        </w:tc>
        <w:tc>
          <w:tcPr>
            <w:tcW w:w="656" w:type="dxa"/>
          </w:tcPr>
          <w:p>
            <w:pPr>
              <w:widowControl/>
              <w:jc w:val="left"/>
              <w:outlineLvl w:val="1"/>
              <w:rPr>
                <w:rFonts w:ascii="宋体"/>
                <w:kern w:val="0"/>
                <w:szCs w:val="21"/>
              </w:rPr>
            </w:pPr>
          </w:p>
        </w:tc>
        <w:tc>
          <w:tcPr>
            <w:tcW w:w="431" w:type="dxa"/>
          </w:tcPr>
          <w:p>
            <w:pPr>
              <w:widowControl/>
              <w:jc w:val="left"/>
              <w:outlineLvl w:val="1"/>
              <w:rPr>
                <w:rFonts w:ascii="宋体"/>
                <w:kern w:val="0"/>
                <w:szCs w:val="21"/>
              </w:rPr>
            </w:pPr>
          </w:p>
        </w:tc>
        <w:tc>
          <w:tcPr>
            <w:tcW w:w="431" w:type="dxa"/>
          </w:tcPr>
          <w:p>
            <w:pPr>
              <w:widowControl/>
              <w:jc w:val="left"/>
              <w:outlineLvl w:val="1"/>
              <w:rPr>
                <w:rFonts w:ascii="宋体"/>
                <w:kern w:val="0"/>
                <w:szCs w:val="21"/>
              </w:rPr>
            </w:pPr>
          </w:p>
        </w:tc>
        <w:tc>
          <w:tcPr>
            <w:tcW w:w="616" w:type="dxa"/>
            <w:gridSpan w:val="2"/>
          </w:tcPr>
          <w:p>
            <w:pPr>
              <w:widowControl/>
              <w:jc w:val="left"/>
              <w:outlineLvl w:val="1"/>
              <w:rPr>
                <w:rFonts w:ascii="宋体"/>
                <w:kern w:val="0"/>
                <w:szCs w:val="21"/>
              </w:rPr>
            </w:pPr>
          </w:p>
        </w:tc>
        <w:tc>
          <w:tcPr>
            <w:tcW w:w="471" w:type="dxa"/>
          </w:tcPr>
          <w:p>
            <w:pPr>
              <w:widowControl/>
              <w:jc w:val="left"/>
              <w:outlineLvl w:val="1"/>
              <w:rPr>
                <w:rFonts w:ascii="宋体"/>
                <w:kern w:val="0"/>
                <w:szCs w:val="21"/>
              </w:rPr>
            </w:pPr>
          </w:p>
        </w:tc>
        <w:tc>
          <w:tcPr>
            <w:tcW w:w="744" w:type="dxa"/>
          </w:tcPr>
          <w:p>
            <w:pPr>
              <w:widowControl/>
              <w:jc w:val="left"/>
              <w:outlineLvl w:val="1"/>
              <w:rPr>
                <w:rFonts w:ascii="宋体"/>
                <w:kern w:val="0"/>
                <w:szCs w:val="21"/>
              </w:rPr>
            </w:pPr>
          </w:p>
        </w:tc>
        <w:tc>
          <w:tcPr>
            <w:tcW w:w="471" w:type="dxa"/>
          </w:tcPr>
          <w:p>
            <w:pPr>
              <w:widowControl/>
              <w:jc w:val="left"/>
              <w:outlineLvl w:val="1"/>
              <w:rPr>
                <w:rFonts w:ascii="宋体"/>
                <w:kern w:val="0"/>
                <w:szCs w:val="21"/>
              </w:rPr>
            </w:pPr>
          </w:p>
        </w:tc>
        <w:tc>
          <w:tcPr>
            <w:tcW w:w="545" w:type="dxa"/>
          </w:tcPr>
          <w:p>
            <w:pPr>
              <w:widowControl/>
              <w:jc w:val="left"/>
              <w:outlineLvl w:val="1"/>
              <w:rPr>
                <w:rFonts w:ascii="宋体"/>
                <w:kern w:val="0"/>
                <w:szCs w:val="21"/>
              </w:rPr>
            </w:pPr>
          </w:p>
        </w:tc>
        <w:tc>
          <w:tcPr>
            <w:tcW w:w="410" w:type="dxa"/>
            <w:gridSpan w:val="2"/>
          </w:tcPr>
          <w:p>
            <w:pPr>
              <w:widowControl/>
              <w:jc w:val="left"/>
              <w:outlineLvl w:val="1"/>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tcPr>
          <w:p>
            <w:pPr>
              <w:widowControl/>
              <w:jc w:val="left"/>
              <w:outlineLvl w:val="1"/>
              <w:rPr>
                <w:rFonts w:ascii="宋体"/>
                <w:kern w:val="0"/>
                <w:szCs w:val="21"/>
              </w:rPr>
            </w:pPr>
            <w:r>
              <w:rPr>
                <w:rFonts w:hint="eastAsia" w:ascii="宋体" w:hAnsi="宋体"/>
                <w:kern w:val="0"/>
                <w:szCs w:val="21"/>
              </w:rPr>
              <w:t>　　</w:t>
            </w:r>
          </w:p>
        </w:tc>
        <w:tc>
          <w:tcPr>
            <w:tcW w:w="652" w:type="dxa"/>
          </w:tcPr>
          <w:p>
            <w:pPr>
              <w:widowControl/>
              <w:jc w:val="left"/>
              <w:outlineLvl w:val="1"/>
              <w:rPr>
                <w:rFonts w:ascii="宋体"/>
                <w:kern w:val="0"/>
                <w:szCs w:val="21"/>
              </w:rPr>
            </w:pPr>
            <w:r>
              <w:rPr>
                <w:rFonts w:hint="eastAsia" w:ascii="宋体" w:hAnsi="宋体"/>
                <w:kern w:val="0"/>
                <w:szCs w:val="21"/>
              </w:rPr>
              <w:t>　</w:t>
            </w:r>
          </w:p>
        </w:tc>
        <w:tc>
          <w:tcPr>
            <w:tcW w:w="418" w:type="dxa"/>
          </w:tcPr>
          <w:p>
            <w:pPr>
              <w:widowControl/>
              <w:jc w:val="left"/>
              <w:outlineLvl w:val="1"/>
              <w:rPr>
                <w:rFonts w:ascii="宋体"/>
                <w:kern w:val="0"/>
                <w:szCs w:val="21"/>
              </w:rPr>
            </w:pPr>
            <w:r>
              <w:rPr>
                <w:rFonts w:hint="eastAsia" w:ascii="宋体" w:hAnsi="宋体"/>
                <w:kern w:val="0"/>
                <w:szCs w:val="21"/>
              </w:rPr>
              <w:t>　</w:t>
            </w:r>
          </w:p>
        </w:tc>
        <w:tc>
          <w:tcPr>
            <w:tcW w:w="656"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431" w:type="dxa"/>
          </w:tcPr>
          <w:p>
            <w:pPr>
              <w:widowControl/>
              <w:jc w:val="left"/>
              <w:outlineLvl w:val="1"/>
              <w:rPr>
                <w:rFonts w:ascii="宋体"/>
                <w:kern w:val="0"/>
                <w:szCs w:val="21"/>
              </w:rPr>
            </w:pPr>
            <w:r>
              <w:rPr>
                <w:rFonts w:hint="eastAsia" w:ascii="宋体" w:hAnsi="宋体"/>
                <w:kern w:val="0"/>
                <w:szCs w:val="21"/>
              </w:rPr>
              <w:t>　</w:t>
            </w:r>
          </w:p>
        </w:tc>
        <w:tc>
          <w:tcPr>
            <w:tcW w:w="616" w:type="dxa"/>
            <w:gridSpan w:val="2"/>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744" w:type="dxa"/>
          </w:tcPr>
          <w:p>
            <w:pPr>
              <w:widowControl/>
              <w:jc w:val="left"/>
              <w:outlineLvl w:val="1"/>
              <w:rPr>
                <w:rFonts w:ascii="宋体"/>
                <w:kern w:val="0"/>
                <w:szCs w:val="21"/>
              </w:rPr>
            </w:pPr>
            <w:r>
              <w:rPr>
                <w:rFonts w:hint="eastAsia" w:ascii="宋体" w:hAnsi="宋体"/>
                <w:kern w:val="0"/>
                <w:szCs w:val="21"/>
              </w:rPr>
              <w:t>　</w:t>
            </w:r>
          </w:p>
        </w:tc>
        <w:tc>
          <w:tcPr>
            <w:tcW w:w="471" w:type="dxa"/>
          </w:tcPr>
          <w:p>
            <w:pPr>
              <w:widowControl/>
              <w:jc w:val="left"/>
              <w:outlineLvl w:val="1"/>
              <w:rPr>
                <w:rFonts w:ascii="宋体"/>
                <w:kern w:val="0"/>
                <w:szCs w:val="21"/>
              </w:rPr>
            </w:pPr>
            <w:r>
              <w:rPr>
                <w:rFonts w:hint="eastAsia" w:ascii="宋体" w:hAnsi="宋体"/>
                <w:kern w:val="0"/>
                <w:szCs w:val="21"/>
              </w:rPr>
              <w:t>　</w:t>
            </w:r>
          </w:p>
        </w:tc>
        <w:tc>
          <w:tcPr>
            <w:tcW w:w="545" w:type="dxa"/>
          </w:tcPr>
          <w:p>
            <w:pPr>
              <w:widowControl/>
              <w:jc w:val="left"/>
              <w:outlineLvl w:val="1"/>
              <w:rPr>
                <w:rFonts w:ascii="宋体"/>
                <w:kern w:val="0"/>
                <w:szCs w:val="21"/>
              </w:rPr>
            </w:pPr>
            <w:r>
              <w:rPr>
                <w:rFonts w:hint="eastAsia" w:ascii="宋体" w:hAnsi="宋体"/>
                <w:kern w:val="0"/>
                <w:szCs w:val="21"/>
              </w:rPr>
              <w:t>　</w:t>
            </w:r>
          </w:p>
        </w:tc>
        <w:tc>
          <w:tcPr>
            <w:tcW w:w="410" w:type="dxa"/>
            <w:gridSpan w:val="2"/>
          </w:tcPr>
          <w:p>
            <w:pPr>
              <w:widowControl/>
              <w:jc w:val="left"/>
              <w:outlineLvl w:val="1"/>
              <w:rPr>
                <w:rFonts w:ascii="宋体"/>
                <w:kern w:val="0"/>
                <w:szCs w:val="21"/>
              </w:rPr>
            </w:pPr>
            <w:r>
              <w:rPr>
                <w:rFonts w:hint="eastAsia" w:ascii="宋体"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p>
        </w:tc>
        <w:tc>
          <w:tcPr>
            <w:tcW w:w="426" w:type="dxa"/>
          </w:tcPr>
          <w:p>
            <w:pPr>
              <w:widowControl/>
              <w:jc w:val="left"/>
              <w:outlineLvl w:val="1"/>
              <w:rPr>
                <w:rFonts w:ascii="宋体"/>
                <w:kern w:val="0"/>
                <w:szCs w:val="21"/>
              </w:rPr>
            </w:pPr>
          </w:p>
        </w:tc>
        <w:tc>
          <w:tcPr>
            <w:tcW w:w="426" w:type="dxa"/>
          </w:tcPr>
          <w:p>
            <w:pPr>
              <w:widowControl/>
              <w:jc w:val="left"/>
              <w:outlineLvl w:val="1"/>
              <w:rPr>
                <w:rFonts w:ascii="宋体"/>
                <w:kern w:val="0"/>
                <w:szCs w:val="21"/>
              </w:rPr>
            </w:pPr>
          </w:p>
        </w:tc>
        <w:tc>
          <w:tcPr>
            <w:tcW w:w="1067" w:type="dxa"/>
          </w:tcPr>
          <w:p>
            <w:pPr>
              <w:widowControl/>
              <w:jc w:val="left"/>
              <w:outlineLvl w:val="1"/>
              <w:rPr>
                <w:rFonts w:ascii="宋体"/>
                <w:kern w:val="0"/>
                <w:szCs w:val="21"/>
              </w:rPr>
            </w:pPr>
          </w:p>
        </w:tc>
        <w:tc>
          <w:tcPr>
            <w:tcW w:w="820" w:type="dxa"/>
          </w:tcPr>
          <w:p>
            <w:pPr>
              <w:widowControl/>
              <w:jc w:val="left"/>
              <w:outlineLvl w:val="1"/>
              <w:rPr>
                <w:rFonts w:ascii="宋体"/>
                <w:kern w:val="0"/>
                <w:szCs w:val="21"/>
              </w:rPr>
            </w:pPr>
          </w:p>
        </w:tc>
        <w:tc>
          <w:tcPr>
            <w:tcW w:w="652" w:type="dxa"/>
          </w:tcPr>
          <w:p>
            <w:pPr>
              <w:widowControl/>
              <w:jc w:val="left"/>
              <w:outlineLvl w:val="1"/>
              <w:rPr>
                <w:rFonts w:ascii="宋体"/>
                <w:kern w:val="0"/>
                <w:szCs w:val="21"/>
              </w:rPr>
            </w:pPr>
          </w:p>
        </w:tc>
        <w:tc>
          <w:tcPr>
            <w:tcW w:w="418" w:type="dxa"/>
          </w:tcPr>
          <w:p>
            <w:pPr>
              <w:widowControl/>
              <w:jc w:val="left"/>
              <w:outlineLvl w:val="1"/>
              <w:rPr>
                <w:rFonts w:ascii="宋体"/>
                <w:kern w:val="0"/>
                <w:szCs w:val="21"/>
              </w:rPr>
            </w:pPr>
          </w:p>
        </w:tc>
        <w:tc>
          <w:tcPr>
            <w:tcW w:w="656" w:type="dxa"/>
          </w:tcPr>
          <w:p>
            <w:pPr>
              <w:widowControl/>
              <w:jc w:val="left"/>
              <w:outlineLvl w:val="1"/>
              <w:rPr>
                <w:rFonts w:ascii="宋体"/>
                <w:kern w:val="0"/>
                <w:szCs w:val="21"/>
              </w:rPr>
            </w:pPr>
          </w:p>
        </w:tc>
        <w:tc>
          <w:tcPr>
            <w:tcW w:w="431" w:type="dxa"/>
          </w:tcPr>
          <w:p>
            <w:pPr>
              <w:widowControl/>
              <w:jc w:val="left"/>
              <w:outlineLvl w:val="1"/>
              <w:rPr>
                <w:rFonts w:ascii="宋体"/>
                <w:kern w:val="0"/>
                <w:szCs w:val="21"/>
              </w:rPr>
            </w:pPr>
          </w:p>
        </w:tc>
        <w:tc>
          <w:tcPr>
            <w:tcW w:w="431" w:type="dxa"/>
          </w:tcPr>
          <w:p>
            <w:pPr>
              <w:widowControl/>
              <w:jc w:val="left"/>
              <w:outlineLvl w:val="1"/>
              <w:rPr>
                <w:rFonts w:ascii="宋体"/>
                <w:kern w:val="0"/>
                <w:szCs w:val="21"/>
              </w:rPr>
            </w:pPr>
          </w:p>
        </w:tc>
        <w:tc>
          <w:tcPr>
            <w:tcW w:w="616" w:type="dxa"/>
            <w:gridSpan w:val="2"/>
          </w:tcPr>
          <w:p>
            <w:pPr>
              <w:widowControl/>
              <w:jc w:val="left"/>
              <w:outlineLvl w:val="1"/>
              <w:rPr>
                <w:rFonts w:ascii="宋体"/>
                <w:kern w:val="0"/>
                <w:szCs w:val="21"/>
              </w:rPr>
            </w:pPr>
          </w:p>
        </w:tc>
        <w:tc>
          <w:tcPr>
            <w:tcW w:w="471" w:type="dxa"/>
          </w:tcPr>
          <w:p>
            <w:pPr>
              <w:widowControl/>
              <w:jc w:val="left"/>
              <w:outlineLvl w:val="1"/>
              <w:rPr>
                <w:rFonts w:ascii="宋体"/>
                <w:kern w:val="0"/>
                <w:szCs w:val="21"/>
              </w:rPr>
            </w:pPr>
          </w:p>
        </w:tc>
        <w:tc>
          <w:tcPr>
            <w:tcW w:w="744" w:type="dxa"/>
          </w:tcPr>
          <w:p>
            <w:pPr>
              <w:widowControl/>
              <w:jc w:val="left"/>
              <w:outlineLvl w:val="1"/>
              <w:rPr>
                <w:rFonts w:ascii="宋体"/>
                <w:kern w:val="0"/>
                <w:szCs w:val="21"/>
              </w:rPr>
            </w:pPr>
          </w:p>
        </w:tc>
        <w:tc>
          <w:tcPr>
            <w:tcW w:w="471" w:type="dxa"/>
          </w:tcPr>
          <w:p>
            <w:pPr>
              <w:widowControl/>
              <w:jc w:val="left"/>
              <w:outlineLvl w:val="1"/>
              <w:rPr>
                <w:rFonts w:ascii="宋体"/>
                <w:kern w:val="0"/>
                <w:szCs w:val="21"/>
              </w:rPr>
            </w:pPr>
          </w:p>
        </w:tc>
        <w:tc>
          <w:tcPr>
            <w:tcW w:w="545" w:type="dxa"/>
          </w:tcPr>
          <w:p>
            <w:pPr>
              <w:widowControl/>
              <w:jc w:val="left"/>
              <w:outlineLvl w:val="1"/>
              <w:rPr>
                <w:rFonts w:ascii="宋体"/>
                <w:kern w:val="0"/>
                <w:szCs w:val="21"/>
              </w:rPr>
            </w:pPr>
          </w:p>
        </w:tc>
        <w:tc>
          <w:tcPr>
            <w:tcW w:w="410" w:type="dxa"/>
            <w:gridSpan w:val="2"/>
          </w:tcPr>
          <w:p>
            <w:pPr>
              <w:widowControl/>
              <w:jc w:val="left"/>
              <w:outlineLvl w:val="1"/>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2"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426" w:type="dxa"/>
          </w:tcPr>
          <w:p>
            <w:pPr>
              <w:widowControl/>
              <w:jc w:val="left"/>
              <w:outlineLvl w:val="1"/>
              <w:rPr>
                <w:rFonts w:ascii="宋体"/>
                <w:kern w:val="0"/>
                <w:szCs w:val="21"/>
              </w:rPr>
            </w:pPr>
            <w:r>
              <w:rPr>
                <w:rFonts w:hint="eastAsia" w:ascii="宋体" w:hAnsi="宋体"/>
                <w:kern w:val="0"/>
                <w:szCs w:val="21"/>
              </w:rPr>
              <w:t>　</w:t>
            </w:r>
          </w:p>
        </w:tc>
        <w:tc>
          <w:tcPr>
            <w:tcW w:w="1067" w:type="dxa"/>
          </w:tcPr>
          <w:p>
            <w:pPr>
              <w:widowControl/>
              <w:jc w:val="left"/>
              <w:outlineLvl w:val="1"/>
              <w:rPr>
                <w:rFonts w:ascii="宋体"/>
                <w:kern w:val="0"/>
                <w:szCs w:val="21"/>
              </w:rPr>
            </w:pPr>
            <w:r>
              <w:rPr>
                <w:rFonts w:hint="eastAsia" w:ascii="宋体" w:hAnsi="宋体"/>
                <w:kern w:val="0"/>
                <w:szCs w:val="21"/>
              </w:rPr>
              <w:t>　</w:t>
            </w:r>
          </w:p>
        </w:tc>
        <w:tc>
          <w:tcPr>
            <w:tcW w:w="820" w:type="dxa"/>
            <w:vAlign w:val="center"/>
          </w:tcPr>
          <w:p>
            <w:pPr>
              <w:widowControl/>
              <w:jc w:val="center"/>
              <w:outlineLvl w:val="1"/>
              <w:rPr>
                <w:rFonts w:ascii="宋体"/>
                <w:kern w:val="0"/>
                <w:szCs w:val="21"/>
              </w:rPr>
            </w:pPr>
            <w:r>
              <w:rPr>
                <w:rFonts w:hint="eastAsia" w:ascii="宋体" w:hAnsi="宋体"/>
                <w:b/>
                <w:bCs/>
                <w:kern w:val="0"/>
                <w:szCs w:val="21"/>
              </w:rPr>
              <w:t>合</w:t>
            </w:r>
            <w:r>
              <w:rPr>
                <w:rFonts w:ascii="宋体" w:hAnsi="宋体"/>
                <w:b/>
                <w:bCs/>
                <w:kern w:val="0"/>
                <w:szCs w:val="21"/>
              </w:rPr>
              <w:t xml:space="preserve"> </w:t>
            </w:r>
            <w:r>
              <w:rPr>
                <w:rFonts w:hint="eastAsia" w:ascii="宋体" w:hAnsi="宋体"/>
                <w:b/>
                <w:bCs/>
                <w:kern w:val="0"/>
                <w:szCs w:val="21"/>
              </w:rPr>
              <w:t>计</w:t>
            </w:r>
          </w:p>
        </w:tc>
        <w:tc>
          <w:tcPr>
            <w:tcW w:w="652" w:type="dxa"/>
            <w:vAlign w:val="center"/>
          </w:tcPr>
          <w:p>
            <w:pPr>
              <w:widowControl/>
              <w:jc w:val="center"/>
              <w:outlineLvl w:val="1"/>
              <w:rPr>
                <w:rFonts w:ascii="宋体" w:hAnsi="宋体"/>
                <w:kern w:val="0"/>
                <w:szCs w:val="21"/>
              </w:rPr>
            </w:pPr>
            <w:r>
              <w:rPr>
                <w:rFonts w:ascii="宋体" w:hAnsi="宋体"/>
                <w:kern w:val="0"/>
                <w:szCs w:val="21"/>
              </w:rPr>
              <w:t>12.0</w:t>
            </w:r>
          </w:p>
        </w:tc>
        <w:tc>
          <w:tcPr>
            <w:tcW w:w="418" w:type="dxa"/>
            <w:vAlign w:val="center"/>
          </w:tcPr>
          <w:p>
            <w:pPr>
              <w:widowControl/>
              <w:jc w:val="center"/>
              <w:outlineLvl w:val="1"/>
              <w:rPr>
                <w:rFonts w:ascii="宋体" w:hAnsi="宋体"/>
                <w:kern w:val="0"/>
                <w:szCs w:val="21"/>
              </w:rPr>
            </w:pPr>
          </w:p>
        </w:tc>
        <w:tc>
          <w:tcPr>
            <w:tcW w:w="656" w:type="dxa"/>
            <w:vAlign w:val="center"/>
          </w:tcPr>
          <w:p>
            <w:pPr>
              <w:widowControl/>
              <w:jc w:val="center"/>
              <w:outlineLvl w:val="1"/>
              <w:rPr>
                <w:rFonts w:ascii="宋体" w:hAnsi="宋体"/>
                <w:kern w:val="0"/>
                <w:szCs w:val="21"/>
              </w:rPr>
            </w:pPr>
            <w:r>
              <w:rPr>
                <w:rFonts w:ascii="宋体" w:hAnsi="宋体"/>
                <w:kern w:val="0"/>
                <w:szCs w:val="21"/>
              </w:rPr>
              <w:t>12.0</w:t>
            </w:r>
          </w:p>
        </w:tc>
        <w:tc>
          <w:tcPr>
            <w:tcW w:w="431" w:type="dxa"/>
            <w:vAlign w:val="center"/>
          </w:tcPr>
          <w:p>
            <w:pPr>
              <w:widowControl/>
              <w:jc w:val="center"/>
              <w:outlineLvl w:val="1"/>
              <w:rPr>
                <w:rFonts w:ascii="宋体" w:hAnsi="宋体"/>
                <w:kern w:val="0"/>
                <w:szCs w:val="21"/>
              </w:rPr>
            </w:pPr>
          </w:p>
        </w:tc>
        <w:tc>
          <w:tcPr>
            <w:tcW w:w="431" w:type="dxa"/>
            <w:vAlign w:val="center"/>
          </w:tcPr>
          <w:p>
            <w:pPr>
              <w:widowControl/>
              <w:jc w:val="center"/>
              <w:outlineLvl w:val="1"/>
              <w:rPr>
                <w:rFonts w:ascii="宋体" w:hAnsi="宋体"/>
                <w:kern w:val="0"/>
                <w:szCs w:val="21"/>
              </w:rPr>
            </w:pPr>
          </w:p>
        </w:tc>
        <w:tc>
          <w:tcPr>
            <w:tcW w:w="616" w:type="dxa"/>
            <w:gridSpan w:val="2"/>
            <w:vAlign w:val="center"/>
          </w:tcPr>
          <w:p>
            <w:pPr>
              <w:widowControl/>
              <w:jc w:val="center"/>
              <w:outlineLvl w:val="1"/>
              <w:rPr>
                <w:rFonts w:ascii="宋体" w:hAnsi="宋体"/>
                <w:kern w:val="0"/>
                <w:szCs w:val="21"/>
              </w:rPr>
            </w:pPr>
          </w:p>
        </w:tc>
        <w:tc>
          <w:tcPr>
            <w:tcW w:w="471" w:type="dxa"/>
            <w:vAlign w:val="center"/>
          </w:tcPr>
          <w:p>
            <w:pPr>
              <w:widowControl/>
              <w:jc w:val="center"/>
              <w:outlineLvl w:val="1"/>
              <w:rPr>
                <w:rFonts w:ascii="宋体" w:hAnsi="宋体"/>
                <w:kern w:val="0"/>
                <w:szCs w:val="21"/>
              </w:rPr>
            </w:pPr>
          </w:p>
        </w:tc>
        <w:tc>
          <w:tcPr>
            <w:tcW w:w="744" w:type="dxa"/>
            <w:vAlign w:val="center"/>
          </w:tcPr>
          <w:p>
            <w:pPr>
              <w:widowControl/>
              <w:jc w:val="center"/>
              <w:outlineLvl w:val="1"/>
              <w:rPr>
                <w:rFonts w:ascii="宋体" w:hAnsi="宋体"/>
                <w:kern w:val="0"/>
                <w:szCs w:val="21"/>
              </w:rPr>
            </w:pPr>
          </w:p>
        </w:tc>
        <w:tc>
          <w:tcPr>
            <w:tcW w:w="471" w:type="dxa"/>
            <w:vAlign w:val="center"/>
          </w:tcPr>
          <w:p>
            <w:pPr>
              <w:widowControl/>
              <w:jc w:val="center"/>
              <w:outlineLvl w:val="1"/>
              <w:rPr>
                <w:rFonts w:ascii="宋体" w:hAnsi="宋体"/>
                <w:kern w:val="0"/>
                <w:szCs w:val="21"/>
              </w:rPr>
            </w:pPr>
          </w:p>
        </w:tc>
        <w:tc>
          <w:tcPr>
            <w:tcW w:w="545" w:type="dxa"/>
            <w:vAlign w:val="center"/>
          </w:tcPr>
          <w:p>
            <w:pPr>
              <w:widowControl/>
              <w:jc w:val="center"/>
              <w:outlineLvl w:val="1"/>
              <w:rPr>
                <w:rFonts w:ascii="宋体" w:hAnsi="宋体"/>
                <w:kern w:val="0"/>
                <w:szCs w:val="21"/>
              </w:rPr>
            </w:pPr>
          </w:p>
        </w:tc>
        <w:tc>
          <w:tcPr>
            <w:tcW w:w="410" w:type="dxa"/>
            <w:gridSpan w:val="2"/>
            <w:vAlign w:val="center"/>
          </w:tcPr>
          <w:p>
            <w:pPr>
              <w:widowControl/>
              <w:jc w:val="center"/>
              <w:outlineLvl w:val="1"/>
              <w:rPr>
                <w:rFonts w:ascii="宋体" w:hAnsi="宋体"/>
                <w:kern w:val="0"/>
                <w:szCs w:val="21"/>
              </w:rPr>
            </w:pPr>
          </w:p>
        </w:tc>
      </w:tr>
    </w:tbl>
    <w:p>
      <w:pPr>
        <w:widowControl/>
        <w:jc w:val="left"/>
        <w:outlineLvl w:val="1"/>
        <w:rPr>
          <w:rFonts w:ascii="仿宋_GB2312" w:hAnsi="宋体" w:eastAsia="仿宋_GB2312"/>
          <w:b/>
          <w:kern w:val="0"/>
          <w:sz w:val="32"/>
          <w:szCs w:val="32"/>
        </w:rPr>
      </w:pPr>
    </w:p>
    <w:p>
      <w:pPr>
        <w:pStyle w:val="2"/>
        <w:ind w:left="31680" w:firstLine="31680"/>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ascii="仿宋_GB2312" w:hAnsi="宋体" w:eastAsia="仿宋_GB2312"/>
          <w:kern w:val="0"/>
          <w:sz w:val="24"/>
        </w:rPr>
        <w:t xml:space="preserve"> </w:t>
      </w:r>
      <w:r>
        <w:rPr>
          <w:rFonts w:hint="eastAsia" w:ascii="仿宋_GB2312" w:hAnsi="宋体" w:eastAsia="仿宋_GB2312"/>
          <w:kern w:val="0"/>
          <w:sz w:val="24"/>
        </w:rPr>
        <w:t>克州党委政策研究室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3.45</w:t>
            </w:r>
          </w:p>
        </w:tc>
        <w:tc>
          <w:tcPr>
            <w:tcW w:w="1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cs="宋体"/>
                <w:color w:val="000000"/>
                <w:kern w:val="0"/>
                <w:sz w:val="24"/>
              </w:rPr>
              <w:t>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2.85</w:t>
            </w:r>
          </w:p>
        </w:tc>
        <w:tc>
          <w:tcPr>
            <w:tcW w:w="141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cs="宋体"/>
                <w:color w:val="000000"/>
                <w:kern w:val="0"/>
                <w:sz w:val="24"/>
              </w:rPr>
              <w:t>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2.85</w:t>
            </w:r>
          </w:p>
        </w:tc>
        <w:tc>
          <w:tcPr>
            <w:tcW w:w="171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0.6</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3.45</w:t>
            </w:r>
          </w:p>
        </w:tc>
        <w:tc>
          <w:tcPr>
            <w:tcW w:w="1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cs="宋体"/>
                <w:color w:val="000000"/>
                <w:kern w:val="0"/>
                <w:sz w:val="24"/>
              </w:rPr>
              <w:t>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2.85</w:t>
            </w:r>
          </w:p>
        </w:tc>
        <w:tc>
          <w:tcPr>
            <w:tcW w:w="141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cs="宋体"/>
                <w:color w:val="000000"/>
                <w:kern w:val="0"/>
                <w:sz w:val="24"/>
              </w:rPr>
              <w:t>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2.85</w:t>
            </w:r>
          </w:p>
        </w:tc>
        <w:tc>
          <w:tcPr>
            <w:tcW w:w="171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0.6</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pStyle w:val="2"/>
        <w:ind w:left="31680" w:firstLine="31680"/>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编制部门（单位）：克州党委政策研究室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8946" w:type="dxa"/>
        <w:tblInd w:w="108" w:type="dxa"/>
        <w:tblLayout w:type="fixed"/>
        <w:tblCellMar>
          <w:top w:w="0" w:type="dxa"/>
          <w:left w:w="108" w:type="dxa"/>
          <w:bottom w:w="0" w:type="dxa"/>
          <w:right w:w="108" w:type="dxa"/>
        </w:tblCellMar>
      </w:tblPr>
      <w:tblGrid>
        <w:gridCol w:w="443"/>
        <w:gridCol w:w="457"/>
        <w:gridCol w:w="591"/>
        <w:gridCol w:w="2652"/>
        <w:gridCol w:w="1669"/>
        <w:gridCol w:w="1701"/>
        <w:gridCol w:w="1433"/>
      </w:tblGrid>
      <w:tr>
        <w:tblPrEx>
          <w:tblLayout w:type="fixed"/>
          <w:tblCellMar>
            <w:top w:w="0" w:type="dxa"/>
            <w:left w:w="108" w:type="dxa"/>
            <w:bottom w:w="0" w:type="dxa"/>
            <w:right w:w="108" w:type="dxa"/>
          </w:tblCellMar>
        </w:tblPrEx>
        <w:trPr>
          <w:trHeight w:val="465" w:hRule="atLeast"/>
        </w:trPr>
        <w:tc>
          <w:tcPr>
            <w:tcW w:w="4143"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80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65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43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65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43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9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4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59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p>
    <w:p>
      <w:pPr>
        <w:widowControl/>
        <w:spacing w:line="280" w:lineRule="exact"/>
        <w:outlineLvl w:val="1"/>
        <w:rPr>
          <w:rFonts w:ascii="仿宋_GB2312" w:hAnsi="宋体" w:eastAsia="仿宋_GB2312"/>
          <w:b/>
          <w:kern w:val="0"/>
          <w:sz w:val="24"/>
        </w:rPr>
      </w:pPr>
      <w:r>
        <w:rPr>
          <w:rFonts w:hint="eastAsia" w:ascii="仿宋_GB2312" w:hAnsi="宋体" w:eastAsia="仿宋_GB2312"/>
          <w:b/>
          <w:kern w:val="0"/>
          <w:sz w:val="24"/>
        </w:rPr>
        <w:t>备注：克州党委政策研究室无政府性基金预算拨款情况说明支出，本表为空表。</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年克州党委政策研究室预算情况说明</w:t>
      </w:r>
    </w:p>
    <w:p>
      <w:pPr>
        <w:spacing w:line="560" w:lineRule="exact"/>
        <w:ind w:firstLine="640" w:firstLineChars="200"/>
        <w:rPr>
          <w:rFonts w:ascii="黑体" w:hAnsi="黑体" w:eastAsia="黑体" w:cs="宋体"/>
          <w:bCs/>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按照全口径预算的原则，克州党委政策研究室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年所有收入和支出均纳入部门（单位）预算管理。收支总预算</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政府性基金预算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、国有资</w:t>
      </w:r>
      <w:r>
        <w:rPr>
          <w:rFonts w:hint="eastAsia" w:ascii="仿宋_GB2312" w:hAnsi="宋体" w:eastAsia="仿宋_GB2312" w:cs="宋体"/>
          <w:kern w:val="0"/>
          <w:sz w:val="32"/>
          <w:szCs w:val="32"/>
          <w:lang w:eastAsia="zh-CN"/>
        </w:rPr>
        <w:t>本</w:t>
      </w:r>
      <w:r>
        <w:rPr>
          <w:rFonts w:hint="eastAsia" w:ascii="仿宋_GB2312" w:hAnsi="宋体" w:eastAsia="仿宋_GB2312" w:cs="宋体"/>
          <w:kern w:val="0"/>
          <w:sz w:val="32"/>
          <w:szCs w:val="32"/>
        </w:rPr>
        <w:t>经营预算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克州党委政策研究室收入预算</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ascii="仿宋_GB2312" w:hAnsi="宋体" w:eastAsia="仿宋_GB2312" w:cs="宋体"/>
          <w:kern w:val="0"/>
          <w:sz w:val="32"/>
          <w:szCs w:val="32"/>
        </w:rPr>
        <w:t>1.98</w:t>
      </w:r>
      <w:r>
        <w:rPr>
          <w:rFonts w:hint="eastAsia" w:ascii="仿宋_GB2312" w:hAnsi="宋体" w:eastAsia="仿宋_GB2312" w:cs="宋体"/>
          <w:kern w:val="0"/>
          <w:sz w:val="32"/>
          <w:szCs w:val="32"/>
        </w:rPr>
        <w:t>万元，主要原因是人员正常晋升，随之工资增加；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95.81</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88.87%</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1.98</w:t>
      </w:r>
      <w:r>
        <w:rPr>
          <w:rFonts w:hint="eastAsia" w:ascii="仿宋_GB2312" w:hAnsi="宋体" w:eastAsia="仿宋_GB2312" w:cs="宋体"/>
          <w:kern w:val="0"/>
          <w:sz w:val="32"/>
          <w:szCs w:val="32"/>
        </w:rPr>
        <w:t>万元，主要原因是人员正常晋升，随之工资增加。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11.13%</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万元，主要原因是预算与上年持平，无变化。</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四、关于克州党委政策研究室</w:t>
      </w:r>
      <w:r>
        <w:rPr>
          <w:rFonts w:ascii="黑体" w:hAnsi="黑体" w:eastAsia="黑体" w:cs="宋体"/>
          <w:bCs/>
          <w:kern w:val="0"/>
          <w:sz w:val="32"/>
          <w:szCs w:val="32"/>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一般公共预算支出包括：一般公共服务支出</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万元，主要用于人员经费</w:t>
      </w:r>
      <w:r>
        <w:rPr>
          <w:rFonts w:ascii="仿宋_GB2312" w:hAnsi="宋体" w:eastAsia="仿宋_GB2312" w:cs="宋体"/>
          <w:kern w:val="0"/>
          <w:sz w:val="32"/>
          <w:szCs w:val="32"/>
        </w:rPr>
        <w:t>91.15</w:t>
      </w:r>
      <w:r>
        <w:rPr>
          <w:rFonts w:hint="eastAsia" w:ascii="仿宋_GB2312" w:hAnsi="宋体" w:eastAsia="仿宋_GB2312" w:cs="宋体"/>
          <w:kern w:val="0"/>
          <w:sz w:val="32"/>
          <w:szCs w:val="32"/>
        </w:rPr>
        <w:t>万元、公用经费</w:t>
      </w:r>
      <w:r>
        <w:rPr>
          <w:rFonts w:ascii="仿宋_GB2312" w:hAnsi="宋体" w:eastAsia="仿宋_GB2312" w:cs="宋体"/>
          <w:kern w:val="0"/>
          <w:sz w:val="32"/>
          <w:szCs w:val="32"/>
        </w:rPr>
        <w:t>4.66</w:t>
      </w:r>
      <w:r>
        <w:rPr>
          <w:rFonts w:hint="eastAsia" w:ascii="仿宋_GB2312" w:hAnsi="宋体" w:eastAsia="仿宋_GB2312" w:cs="宋体"/>
          <w:kern w:val="0"/>
          <w:sz w:val="32"/>
          <w:szCs w:val="32"/>
        </w:rPr>
        <w:t>万元、项目经费</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年一般公共预算拨款合计</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万元，其中：基本支出</w:t>
      </w:r>
      <w:r>
        <w:rPr>
          <w:rFonts w:ascii="仿宋_GB2312" w:hAnsi="宋体" w:eastAsia="仿宋_GB2312" w:cs="宋体"/>
          <w:kern w:val="0"/>
          <w:sz w:val="32"/>
          <w:szCs w:val="32"/>
        </w:rPr>
        <w:t>95.81</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1.98</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2.11%</w:t>
      </w:r>
      <w:r>
        <w:rPr>
          <w:rFonts w:hint="eastAsia" w:ascii="仿宋_GB2312" w:hAnsi="宋体" w:eastAsia="仿宋_GB2312" w:cs="宋体"/>
          <w:kern w:val="0"/>
          <w:sz w:val="32"/>
          <w:szCs w:val="32"/>
        </w:rPr>
        <w:t>。主要原因是：人员正常晋升，随之工资增加。项目支出</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w:t>
      </w:r>
      <w:r>
        <w:rPr>
          <w:rFonts w:hint="eastAsia" w:ascii="仿宋_GB2312" w:hAnsi="宋体" w:eastAsia="仿宋_GB2312" w:cs="宋体"/>
          <w:kern w:val="0"/>
          <w:sz w:val="32"/>
          <w:szCs w:val="32"/>
        </w:rPr>
        <w:t>。主要原因是：预算与上年持平，无变化。</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一般公共服务（类：</w:t>
      </w:r>
      <w:r>
        <w:rPr>
          <w:rFonts w:ascii="仿宋_GB2312" w:eastAsia="仿宋_GB2312"/>
          <w:sz w:val="32"/>
          <w:szCs w:val="32"/>
        </w:rPr>
        <w:t>201</w:t>
      </w:r>
      <w:r>
        <w:rPr>
          <w:rFonts w:hint="eastAsia" w:ascii="仿宋_GB2312" w:eastAsia="仿宋_GB2312"/>
          <w:sz w:val="32"/>
          <w:szCs w:val="32"/>
        </w:rPr>
        <w:t>）</w:t>
      </w:r>
      <w:r>
        <w:rPr>
          <w:rFonts w:ascii="楷体_GB2312" w:eastAsia="楷体_GB2312"/>
          <w:b/>
          <w:sz w:val="32"/>
          <w:szCs w:val="32"/>
        </w:rPr>
        <w:t>107.81</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:201</w:t>
      </w:r>
      <w:r>
        <w:rPr>
          <w:rFonts w:hint="eastAsia" w:ascii="仿宋_GB2312" w:hAnsi="宋体" w:eastAsia="仿宋_GB2312" w:cs="宋体"/>
          <w:kern w:val="0"/>
          <w:sz w:val="32"/>
          <w:szCs w:val="32"/>
        </w:rPr>
        <w:t>）党委办公厅（室）事务支出（款</w:t>
      </w:r>
      <w:r>
        <w:rPr>
          <w:rFonts w:ascii="仿宋_GB2312" w:hAnsi="宋体" w:eastAsia="仿宋_GB2312" w:cs="宋体"/>
          <w:kern w:val="0"/>
          <w:sz w:val="32"/>
          <w:szCs w:val="32"/>
        </w:rPr>
        <w:t>:31</w:t>
      </w:r>
      <w:r>
        <w:rPr>
          <w:rFonts w:hint="eastAsia" w:ascii="仿宋_GB2312" w:hAnsi="宋体" w:eastAsia="仿宋_GB2312" w:cs="宋体"/>
          <w:kern w:val="0"/>
          <w:sz w:val="32"/>
          <w:szCs w:val="32"/>
        </w:rPr>
        <w:t>）行政运行（项</w:t>
      </w:r>
      <w:r>
        <w:rPr>
          <w:rFonts w:ascii="仿宋_GB2312" w:hAnsi="宋体" w:eastAsia="仿宋_GB2312" w:cs="宋体"/>
          <w:kern w:val="0"/>
          <w:sz w:val="32"/>
          <w:szCs w:val="32"/>
        </w:rPr>
        <w:t>:01</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107.81</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1.98</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1.87%</w:t>
      </w:r>
      <w:r>
        <w:rPr>
          <w:rFonts w:hint="eastAsia" w:ascii="仿宋_GB2312" w:hAnsi="宋体" w:eastAsia="仿宋_GB2312" w:cs="宋体"/>
          <w:kern w:val="0"/>
          <w:sz w:val="32"/>
          <w:szCs w:val="32"/>
        </w:rPr>
        <w:t>，主要原因是：人员正常晋升，随之工资增加。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95.81</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91.15</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28.53</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38.61</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2.38</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9.78</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4.75</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7.07</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0.03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4.66</w:t>
      </w:r>
      <w:r>
        <w:rPr>
          <w:rFonts w:hint="eastAsia" w:ascii="仿宋_GB2312" w:hAnsi="宋体" w:eastAsia="仿宋_GB2312" w:cs="宋体"/>
          <w:kern w:val="0"/>
          <w:sz w:val="32"/>
          <w:szCs w:val="32"/>
        </w:rPr>
        <w:t>万元，主要包括：办公费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万元、水费</w:t>
      </w:r>
      <w:r>
        <w:rPr>
          <w:rFonts w:ascii="仿宋_GB2312" w:hAnsi="宋体" w:eastAsia="仿宋_GB2312" w:cs="宋体"/>
          <w:kern w:val="0"/>
          <w:sz w:val="32"/>
          <w:szCs w:val="32"/>
        </w:rPr>
        <w:t>0.03</w:t>
      </w:r>
      <w:r>
        <w:rPr>
          <w:rFonts w:hint="eastAsia" w:ascii="仿宋_GB2312" w:hAnsi="宋体" w:eastAsia="仿宋_GB2312" w:cs="宋体"/>
          <w:kern w:val="0"/>
          <w:sz w:val="32"/>
          <w:szCs w:val="32"/>
        </w:rPr>
        <w:t>万元、电费</w:t>
      </w:r>
      <w:r>
        <w:rPr>
          <w:rFonts w:ascii="仿宋_GB2312" w:hAnsi="宋体" w:eastAsia="仿宋_GB2312" w:cs="宋体"/>
          <w:kern w:val="0"/>
          <w:sz w:val="32"/>
          <w:szCs w:val="32"/>
        </w:rPr>
        <w:t>0.4</w:t>
      </w:r>
      <w:r>
        <w:rPr>
          <w:rFonts w:hint="eastAsia" w:ascii="仿宋_GB2312" w:hAnsi="宋体" w:eastAsia="仿宋_GB2312" w:cs="宋体"/>
          <w:kern w:val="0"/>
          <w:sz w:val="32"/>
          <w:szCs w:val="32"/>
        </w:rPr>
        <w:t>万元、邮电费</w:t>
      </w:r>
      <w:r>
        <w:rPr>
          <w:rFonts w:ascii="仿宋_GB2312" w:hAnsi="宋体" w:eastAsia="仿宋_GB2312" w:cs="宋体"/>
          <w:kern w:val="0"/>
          <w:sz w:val="32"/>
          <w:szCs w:val="32"/>
        </w:rPr>
        <w:t>0.3</w:t>
      </w:r>
      <w:r>
        <w:rPr>
          <w:rFonts w:hint="eastAsia" w:ascii="仿宋_GB2312" w:hAnsi="宋体" w:eastAsia="仿宋_GB2312" w:cs="宋体"/>
          <w:kern w:val="0"/>
          <w:sz w:val="32"/>
          <w:szCs w:val="32"/>
        </w:rPr>
        <w:t>万元、差旅费</w:t>
      </w:r>
      <w:r>
        <w:rPr>
          <w:rFonts w:ascii="仿宋_GB2312" w:hAnsi="宋体" w:eastAsia="仿宋_GB2312" w:cs="宋体"/>
          <w:kern w:val="0"/>
          <w:sz w:val="32"/>
          <w:szCs w:val="32"/>
        </w:rPr>
        <w:t>0.47</w:t>
      </w:r>
      <w:r>
        <w:rPr>
          <w:rFonts w:hint="eastAsia" w:ascii="仿宋_GB2312" w:hAnsi="宋体" w:eastAsia="仿宋_GB2312" w:cs="宋体"/>
          <w:kern w:val="0"/>
          <w:sz w:val="32"/>
          <w:szCs w:val="32"/>
        </w:rPr>
        <w:t>万元、维修（护）费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0.6</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0.41</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0.75</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万元、办公用品及设备购置</w:t>
      </w:r>
      <w:r>
        <w:rPr>
          <w:rFonts w:ascii="仿宋_GB2312" w:hAnsi="宋体" w:eastAsia="仿宋_GB2312" w:cs="宋体"/>
          <w:kern w:val="0"/>
          <w:sz w:val="32"/>
          <w:szCs w:val="32"/>
        </w:rPr>
        <w:t>0.4</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调研工作经费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根据文件要求，州领导批示后执行</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克州党委政策研究室</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调研工作经费</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年一般公共预算“三公”经费数为</w:t>
      </w:r>
      <w:r>
        <w:rPr>
          <w:rFonts w:ascii="仿宋_GB2312" w:hAnsi="宋体" w:eastAsia="仿宋_GB2312" w:cs="宋体"/>
          <w:kern w:val="0"/>
          <w:sz w:val="32"/>
          <w:szCs w:val="32"/>
        </w:rPr>
        <w:t>3.45</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2.85</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万元，其中：因公出国（境）费增加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万元，主要原因是今年未做预算安排；公务用车购置费为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，未安排预算；公务用车运行费增加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万元，主要原因是今年与上年预算相持平，无变化；公务接待费增加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万元，主要原因是今年与上年预算相持平，无变化。</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九、关于克州党委政策研究室</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年，克州党委政策研究室本级及下属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4.66</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0.03</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0.65%</w:t>
      </w:r>
      <w:r>
        <w:rPr>
          <w:rFonts w:hint="eastAsia" w:ascii="仿宋_GB2312" w:hAnsi="宋体" w:eastAsia="仿宋_GB2312" w:cs="宋体"/>
          <w:kern w:val="0"/>
          <w:sz w:val="32"/>
          <w:szCs w:val="32"/>
        </w:rPr>
        <w:t>。主要原因是人员工资增加，故工会福利费增加。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年，克州党委政策研究室政府采购预算</w:t>
      </w:r>
      <w:r>
        <w:rPr>
          <w:rFonts w:ascii="仿宋_GB2312" w:hAnsi="宋体" w:eastAsia="仿宋_GB2312" w:cs="宋体"/>
          <w:kern w:val="0"/>
          <w:sz w:val="32"/>
          <w:szCs w:val="32"/>
        </w:rPr>
        <w:t>8.71</w:t>
      </w:r>
      <w:r>
        <w:rPr>
          <w:rFonts w:hint="eastAsia" w:ascii="仿宋_GB2312" w:hAnsi="宋体" w:eastAsia="仿宋_GB2312" w:cs="宋体"/>
          <w:kern w:val="0"/>
          <w:sz w:val="32"/>
          <w:szCs w:val="32"/>
        </w:rPr>
        <w:t>万元，其中：政府采购货物预算</w:t>
      </w:r>
      <w:r>
        <w:rPr>
          <w:rFonts w:ascii="仿宋_GB2312" w:hAnsi="宋体" w:eastAsia="仿宋_GB2312" w:cs="宋体"/>
          <w:color w:val="000000"/>
          <w:kern w:val="0"/>
          <w:sz w:val="32"/>
          <w:szCs w:val="32"/>
        </w:rPr>
        <w:t>5.86</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2.85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年度本部门（单位）面向中小企业预留政府采购项目预算金额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年底，克州党委政策研究室及下属各预算单位占用使用国有资产总体情况为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1</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11.92</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1</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11.92</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4.81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27.18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年部门（单位）预算未安排购置车辆经费，安排购置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年度，本年度实行绩效管理的一般公共预算项目</w:t>
      </w:r>
      <w:r>
        <w:rPr>
          <w:rFonts w:ascii="仿宋_GB2312" w:hAnsi="宋体" w:eastAsia="仿宋_GB2312" w:cs="宋体"/>
          <w:kern w:val="0"/>
          <w:sz w:val="32"/>
          <w:szCs w:val="32"/>
        </w:rPr>
        <w:t>1</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spacing w:line="560" w:lineRule="exact"/>
        <w:rPr>
          <w:rFonts w:ascii="仿宋_GB2312" w:hAnsi="宋体" w:eastAsia="仿宋_GB2312" w:cs="宋体"/>
          <w:kern w:val="0"/>
          <w:sz w:val="32"/>
          <w:szCs w:val="32"/>
        </w:rPr>
      </w:pPr>
      <w:bookmarkStart w:id="0" w:name="_GoBack"/>
      <w:bookmarkEnd w:id="0"/>
    </w:p>
    <w:p>
      <w:pPr>
        <w:spacing w:line="560" w:lineRule="exact"/>
        <w:ind w:firstLine="640" w:firstLineChars="200"/>
        <w:rPr>
          <w:rFonts w:ascii="仿宋_GB2312" w:hAnsi="宋体" w:eastAsia="仿宋_GB2312" w:cs="宋体"/>
          <w:kern w:val="0"/>
          <w:sz w:val="32"/>
          <w:szCs w:val="32"/>
        </w:rPr>
      </w:pPr>
    </w:p>
    <w:tbl>
      <w:tblPr>
        <w:tblStyle w:val="9"/>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克州党委政策研究室（克州党委全面深化改革委员会办公室）</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调研工作经费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hAnsi="宋体" w:cs="宋体"/>
                <w:color w:val="000000"/>
                <w:sz w:val="18"/>
                <w:szCs w:val="18"/>
              </w:rPr>
              <w:t>12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hAnsi="宋体" w:cs="宋体"/>
                <w:color w:val="000000"/>
                <w:sz w:val="18"/>
                <w:szCs w:val="18"/>
              </w:rPr>
              <w:t>12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trHeight w:val="2946"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360" w:firstLineChars="200"/>
              <w:jc w:val="center"/>
              <w:rPr>
                <w:rFonts w:ascii="宋体" w:cs="宋体"/>
                <w:color w:val="000000"/>
                <w:sz w:val="18"/>
                <w:szCs w:val="18"/>
              </w:rPr>
            </w:pPr>
            <w:r>
              <w:rPr>
                <w:rFonts w:hint="eastAsia" w:ascii="宋体" w:hAnsi="宋体" w:cs="宋体"/>
                <w:color w:val="000000"/>
                <w:sz w:val="18"/>
                <w:szCs w:val="18"/>
              </w:rPr>
              <w:t>该项目资金用于政研室（改革办）工作支出。围绕州委中心工作和决策部署，开展调查研究，当好州委、州政府的智囊团和信息库，为州委决策提供好的政策建议和参考依据，探索和研究经济社会发展中的新情况新问题，发挥参谋助手作用。组织开展全面深化改革重大问题的政策研究；统筹协调有关方面提出有关改革工作方案和措施；协调督促落实领导小组决定事项、工作部署和要求；收集汇总改革问题；负责落实领导小组安排的改革部署、会议组织、简报编印、资料管理等工作。</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去县市调研工作次数（次）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w:t>
            </w:r>
            <w:r>
              <w:rPr>
                <w:rFonts w:ascii="宋体" w:hAnsi="宋体" w:cs="宋体"/>
                <w:color w:val="000000"/>
                <w:kern w:val="0"/>
                <w:sz w:val="20"/>
                <w:szCs w:val="20"/>
              </w:rPr>
              <w:t>12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购买办公用品次数（次）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w:t>
            </w:r>
            <w:r>
              <w:rPr>
                <w:rFonts w:ascii="宋体" w:hAnsi="宋体" w:cs="宋体"/>
                <w:color w:val="000000"/>
                <w:kern w:val="0"/>
                <w:sz w:val="20"/>
                <w:szCs w:val="20"/>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撰写调研报告篇数（篇）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w:t>
            </w:r>
            <w:r>
              <w:rPr>
                <w:rFonts w:ascii="宋体" w:hAnsi="宋体" w:cs="宋体"/>
                <w:color w:val="000000"/>
                <w:kern w:val="0"/>
                <w:sz w:val="20"/>
                <w:szCs w:val="20"/>
              </w:rPr>
              <w:t>12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会务及培训工作次数（次）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w:t>
            </w:r>
            <w:r>
              <w:rPr>
                <w:rFonts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撰写调研报告完成率（</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20"/>
                <w:szCs w:val="20"/>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20"/>
                <w:szCs w:val="20"/>
              </w:rPr>
              <w:t>2020</w:t>
            </w:r>
            <w:r>
              <w:rPr>
                <w:rFonts w:hint="eastAsia" w:ascii="宋体" w:hAnsi="宋体" w:cs="宋体"/>
                <w:color w:val="000000"/>
                <w:kern w:val="0"/>
                <w:sz w:val="20"/>
                <w:szCs w:val="20"/>
              </w:rPr>
              <w:t>年</w:t>
            </w:r>
            <w:r>
              <w:rPr>
                <w:rFonts w:ascii="宋体" w:hAnsi="宋体" w:cs="宋体"/>
                <w:color w:val="000000"/>
                <w:kern w:val="0"/>
                <w:sz w:val="20"/>
                <w:szCs w:val="20"/>
              </w:rPr>
              <w:t>12</w:t>
            </w:r>
            <w:r>
              <w:rPr>
                <w:rFonts w:hint="eastAsia" w:ascii="宋体" w:hAnsi="宋体" w:cs="宋体"/>
                <w:color w:val="000000"/>
                <w:kern w:val="0"/>
                <w:sz w:val="20"/>
                <w:szCs w:val="20"/>
              </w:rPr>
              <w:t>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资金拨付及时率（</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20"/>
                <w:szCs w:val="20"/>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工作经费（万元）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w:t>
            </w:r>
            <w:r>
              <w:rPr>
                <w:rFonts w:ascii="宋体" w:hAnsi="宋体" w:cs="宋体"/>
                <w:color w:val="000000"/>
                <w:kern w:val="0"/>
                <w:sz w:val="20"/>
                <w:szCs w:val="20"/>
              </w:rPr>
              <w:t>12</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保障工作情况需要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促进我州社会稳定和经济发展</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有效促进</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受益工作人员满意度（</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0"/>
                <w:szCs w:val="20"/>
              </w:rPr>
              <w:t>≥</w:t>
            </w:r>
            <w:r>
              <w:rPr>
                <w:rFonts w:ascii="宋体" w:hAnsi="宋体" w:cs="宋体"/>
                <w:color w:val="000000"/>
                <w:kern w:val="0"/>
                <w:sz w:val="20"/>
                <w:szCs w:val="20"/>
              </w:rPr>
              <w:t>95%</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克州党委政策研究室无其他说明事项。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指由一般公共预算、政府性基金预算、国有资本经营预算安排的财政拨款数。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hAnsi="宋体" w:eastAsia="仿宋_GB2312" w:cs="宋体"/>
          <w:kern w:val="0"/>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克州党委政策研究室</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5</w:t>
      </w:r>
      <w:r>
        <w:rPr>
          <w:rFonts w:hint="eastAsia"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28 -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631" w:y="37"/>
      <w:jc w:val="right"/>
      <w:rPr>
        <w:rStyle w:val="13"/>
        <w:rFonts w:ascii="宋体" w:hAnsi="宋体"/>
        <w:sz w:val="28"/>
      </w:rPr>
    </w:pPr>
    <w:r>
      <w:rPr>
        <w:rStyle w:val="13"/>
        <w:rFonts w:ascii="宋体" w:hAnsi="宋体"/>
        <w:sz w:val="28"/>
      </w:rPr>
      <w:fldChar w:fldCharType="begin"/>
    </w:r>
    <w:r>
      <w:rPr>
        <w:rStyle w:val="13"/>
        <w:rFonts w:ascii="宋体" w:hAnsi="宋体"/>
        <w:sz w:val="28"/>
      </w:rPr>
      <w:instrText xml:space="preserve"> PAGE </w:instrText>
    </w:r>
    <w:r>
      <w:rPr>
        <w:rStyle w:val="13"/>
        <w:rFonts w:ascii="宋体" w:hAnsi="宋体"/>
        <w:sz w:val="28"/>
      </w:rPr>
      <w:fldChar w:fldCharType="separate"/>
    </w:r>
    <w:r>
      <w:rPr>
        <w:rStyle w:val="13"/>
        <w:rFonts w:ascii="宋体" w:hAnsi="宋体"/>
        <w:sz w:val="28"/>
      </w:rPr>
      <w:t>- 31 -</w:t>
    </w:r>
    <w:r>
      <w:rPr>
        <w:rStyle w:val="13"/>
        <w:rFonts w:ascii="宋体" w:hAnsi="宋体"/>
        <w:sz w:val="28"/>
      </w:rPr>
      <w:fldChar w:fldCharType="end"/>
    </w:r>
    <w:r>
      <w:rPr>
        <w:rStyle w:val="13"/>
        <w:rFonts w:ascii="宋体" w:hAnsi="宋体"/>
        <w:sz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756" w:y="37"/>
      <w:rPr>
        <w:rStyle w:val="13"/>
        <w:rFonts w:asci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- 34 -</w:t>
    </w:r>
    <w:r>
      <w:rPr>
        <w:rStyle w:val="13"/>
        <w:rFonts w:ascii="宋体" w:hAnsi="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BF"/>
    <w:rsid w:val="00002FB5"/>
    <w:rsid w:val="000256D6"/>
    <w:rsid w:val="00082DBB"/>
    <w:rsid w:val="0009522A"/>
    <w:rsid w:val="00096BD2"/>
    <w:rsid w:val="000B6059"/>
    <w:rsid w:val="000C4F00"/>
    <w:rsid w:val="00121764"/>
    <w:rsid w:val="001410DA"/>
    <w:rsid w:val="001662FE"/>
    <w:rsid w:val="00172C01"/>
    <w:rsid w:val="00186398"/>
    <w:rsid w:val="001C5153"/>
    <w:rsid w:val="001D3009"/>
    <w:rsid w:val="001F741B"/>
    <w:rsid w:val="002166BA"/>
    <w:rsid w:val="0025533F"/>
    <w:rsid w:val="00324290"/>
    <w:rsid w:val="0039153B"/>
    <w:rsid w:val="00396814"/>
    <w:rsid w:val="003B4B5F"/>
    <w:rsid w:val="003C57C5"/>
    <w:rsid w:val="003C61E3"/>
    <w:rsid w:val="003E10F0"/>
    <w:rsid w:val="00414506"/>
    <w:rsid w:val="00432267"/>
    <w:rsid w:val="0044468E"/>
    <w:rsid w:val="004760D5"/>
    <w:rsid w:val="00493EEC"/>
    <w:rsid w:val="004B5A44"/>
    <w:rsid w:val="004D2619"/>
    <w:rsid w:val="004F62F9"/>
    <w:rsid w:val="00520D5A"/>
    <w:rsid w:val="00541099"/>
    <w:rsid w:val="00616058"/>
    <w:rsid w:val="00674C8D"/>
    <w:rsid w:val="006B6A8C"/>
    <w:rsid w:val="006D43AD"/>
    <w:rsid w:val="006D5EAD"/>
    <w:rsid w:val="006F22EF"/>
    <w:rsid w:val="00701AD1"/>
    <w:rsid w:val="007219F8"/>
    <w:rsid w:val="007B4A33"/>
    <w:rsid w:val="007E05AB"/>
    <w:rsid w:val="007E2CEA"/>
    <w:rsid w:val="00871910"/>
    <w:rsid w:val="00891359"/>
    <w:rsid w:val="008C2654"/>
    <w:rsid w:val="008F603B"/>
    <w:rsid w:val="009035BA"/>
    <w:rsid w:val="00907796"/>
    <w:rsid w:val="0096028F"/>
    <w:rsid w:val="00974DAB"/>
    <w:rsid w:val="0099744C"/>
    <w:rsid w:val="009C6198"/>
    <w:rsid w:val="009D500A"/>
    <w:rsid w:val="00A9706D"/>
    <w:rsid w:val="00AD1387"/>
    <w:rsid w:val="00AD3532"/>
    <w:rsid w:val="00B127E0"/>
    <w:rsid w:val="00B71C99"/>
    <w:rsid w:val="00BA3DC5"/>
    <w:rsid w:val="00BA582F"/>
    <w:rsid w:val="00C117E5"/>
    <w:rsid w:val="00C87254"/>
    <w:rsid w:val="00CA4E1E"/>
    <w:rsid w:val="00CB2B2A"/>
    <w:rsid w:val="00D32C23"/>
    <w:rsid w:val="00DC05BF"/>
    <w:rsid w:val="00DC5F12"/>
    <w:rsid w:val="00E42590"/>
    <w:rsid w:val="00E72E1E"/>
    <w:rsid w:val="00E9589D"/>
    <w:rsid w:val="00EA2AA0"/>
    <w:rsid w:val="00F23808"/>
    <w:rsid w:val="00F54FE8"/>
    <w:rsid w:val="00F830A1"/>
    <w:rsid w:val="00F83503"/>
    <w:rsid w:val="00F90952"/>
    <w:rsid w:val="057363B3"/>
    <w:rsid w:val="147D4BE8"/>
    <w:rsid w:val="17EE6B8C"/>
    <w:rsid w:val="1ADB67D3"/>
    <w:rsid w:val="1FC461BB"/>
    <w:rsid w:val="25EA3FB9"/>
    <w:rsid w:val="3BE82C02"/>
    <w:rsid w:val="454A5A4F"/>
    <w:rsid w:val="4BEF28E6"/>
    <w:rsid w:val="4EE514F8"/>
    <w:rsid w:val="6C5945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5"/>
    <w:semiHidden/>
    <w:uiPriority w:val="99"/>
    <w:pPr>
      <w:ind w:firstLine="420" w:firstLineChars="200"/>
    </w:pPr>
  </w:style>
  <w:style w:type="paragraph" w:styleId="3">
    <w:name w:val="Body Text Indent"/>
    <w:basedOn w:val="1"/>
    <w:link w:val="14"/>
    <w:semiHidden/>
    <w:uiPriority w:val="99"/>
    <w:pPr>
      <w:ind w:left="420" w:leftChars="200"/>
    </w:pPr>
  </w:style>
  <w:style w:type="paragraph" w:styleId="4">
    <w:name w:val="Balloon Text"/>
    <w:basedOn w:val="1"/>
    <w:link w:val="16"/>
    <w:semiHidden/>
    <w:uiPriority w:val="99"/>
    <w:rPr>
      <w:rFonts w:ascii="??" w:hAnsi="??"/>
      <w:kern w:val="0"/>
      <w:sz w:val="18"/>
      <w:szCs w:val="18"/>
    </w:rPr>
  </w:style>
  <w:style w:type="paragraph" w:styleId="5">
    <w:name w:val="footer"/>
    <w:basedOn w:val="1"/>
    <w:link w:val="17"/>
    <w:uiPriority w:val="99"/>
    <w:pPr>
      <w:tabs>
        <w:tab w:val="center" w:pos="4153"/>
        <w:tab w:val="right" w:pos="8306"/>
      </w:tabs>
      <w:snapToGrid w:val="0"/>
      <w:jc w:val="left"/>
    </w:pPr>
    <w:rPr>
      <w:rFonts w:ascii="??" w:hAnsi="??"/>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rFonts w:ascii="??" w:hAnsi="??"/>
      <w:sz w:val="18"/>
      <w:szCs w:val="18"/>
    </w:rPr>
  </w:style>
  <w:style w:type="paragraph" w:styleId="7">
    <w:name w:val="Body Text Indent 3"/>
    <w:basedOn w:val="1"/>
    <w:link w:val="19"/>
    <w:uiPriority w:val="99"/>
    <w:pPr>
      <w:pBdr>
        <w:top w:val="single" w:color="auto" w:sz="12" w:space="1"/>
        <w:bottom w:val="single" w:color="auto" w:sz="12" w:space="1"/>
      </w:pBdr>
      <w:spacing w:line="600" w:lineRule="exact"/>
      <w:ind w:left="1280" w:hanging="1280" w:hangingChars="400"/>
    </w:pPr>
    <w:rPr>
      <w:rFonts w:ascii="??" w:hAnsi="??" w:eastAsia="仿宋_GB2312"/>
      <w:kern w:val="0"/>
      <w:sz w:val="32"/>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99"/>
    <w:rPr>
      <w:rFonts w:cs="Times New Roman"/>
    </w:rPr>
  </w:style>
  <w:style w:type="character" w:customStyle="1" w:styleId="14">
    <w:name w:val="Body Text Indent Char"/>
    <w:basedOn w:val="11"/>
    <w:link w:val="3"/>
    <w:semiHidden/>
    <w:locked/>
    <w:uiPriority w:val="99"/>
    <w:rPr>
      <w:rFonts w:ascii="Times New Roman" w:hAnsi="Times New Roman" w:cs="Times New Roman"/>
      <w:sz w:val="24"/>
      <w:szCs w:val="24"/>
    </w:rPr>
  </w:style>
  <w:style w:type="character" w:customStyle="1" w:styleId="15">
    <w:name w:val="Body Text First Indent 2 Char"/>
    <w:basedOn w:val="14"/>
    <w:link w:val="2"/>
    <w:semiHidden/>
    <w:locked/>
    <w:uiPriority w:val="99"/>
  </w:style>
  <w:style w:type="character" w:customStyle="1" w:styleId="16">
    <w:name w:val="Balloon Text Char"/>
    <w:basedOn w:val="11"/>
    <w:link w:val="4"/>
    <w:semiHidden/>
    <w:locked/>
    <w:uiPriority w:val="99"/>
    <w:rPr>
      <w:rFonts w:cs="Times New Roman"/>
      <w:sz w:val="18"/>
    </w:rPr>
  </w:style>
  <w:style w:type="character" w:customStyle="1" w:styleId="17">
    <w:name w:val="Footer Char"/>
    <w:basedOn w:val="11"/>
    <w:link w:val="5"/>
    <w:locked/>
    <w:uiPriority w:val="99"/>
    <w:rPr>
      <w:rFonts w:cs="Times New Roman"/>
      <w:sz w:val="18"/>
      <w:szCs w:val="18"/>
    </w:rPr>
  </w:style>
  <w:style w:type="character" w:customStyle="1" w:styleId="18">
    <w:name w:val="Header Char"/>
    <w:basedOn w:val="11"/>
    <w:link w:val="6"/>
    <w:locked/>
    <w:uiPriority w:val="99"/>
    <w:rPr>
      <w:rFonts w:cs="Times New Roman"/>
      <w:sz w:val="18"/>
      <w:szCs w:val="18"/>
    </w:rPr>
  </w:style>
  <w:style w:type="character" w:customStyle="1" w:styleId="19">
    <w:name w:val="Body Text Indent 3 Char"/>
    <w:basedOn w:val="11"/>
    <w:link w:val="7"/>
    <w:locked/>
    <w:uiPriority w:val="99"/>
    <w:rPr>
      <w:rFonts w:eastAsia="仿宋_GB2312" w:cs="Times New Roman"/>
      <w:sz w:val="24"/>
    </w:rPr>
  </w:style>
  <w:style w:type="paragraph" w:customStyle="1" w:styleId="20">
    <w:name w:val="普通(网站)2"/>
    <w:basedOn w:val="1"/>
    <w:qFormat/>
    <w:uiPriority w:val="99"/>
    <w:rPr>
      <w:rFonts w:ascii="Calibri" w:hAnsi="Calibri" w:cs="黑体"/>
      <w:sz w:val="24"/>
    </w:rPr>
  </w:style>
  <w:style w:type="character" w:customStyle="1" w:styleId="21">
    <w:name w:val="正文文本缩进 3 字符1"/>
    <w:basedOn w:val="11"/>
    <w:semiHidden/>
    <w:qFormat/>
    <w:uiPriority w:val="99"/>
    <w:rPr>
      <w:rFonts w:ascii="Times New Roman" w:hAnsi="Times New Roman" w:eastAsia="宋体" w:cs="Times New Roman"/>
      <w:sz w:val="16"/>
      <w:szCs w:val="16"/>
    </w:rPr>
  </w:style>
  <w:style w:type="paragraph" w:styleId="22">
    <w:name w:val="List Paragraph"/>
    <w:basedOn w:val="1"/>
    <w:qFormat/>
    <w:uiPriority w:val="99"/>
    <w:pPr>
      <w:ind w:firstLine="420" w:firstLineChars="200"/>
    </w:pPr>
    <w:rPr>
      <w:rFonts w:ascii="Calibri" w:hAnsi="Calibri"/>
      <w:szCs w:val="22"/>
    </w:rPr>
  </w:style>
  <w:style w:type="paragraph" w:customStyle="1" w:styleId="23">
    <w:name w:val="普通(网站)3"/>
    <w:basedOn w:val="1"/>
    <w:uiPriority w:val="99"/>
    <w:rPr>
      <w:rFonts w:ascii="Calibri" w:hAnsi="Calibri" w:cs="黑体"/>
      <w:sz w:val="24"/>
    </w:rPr>
  </w:style>
  <w:style w:type="character" w:customStyle="1" w:styleId="24">
    <w:name w:val="批注框文本 字符1"/>
    <w:basedOn w:val="11"/>
    <w:semiHidden/>
    <w:qFormat/>
    <w:uiPriority w:val="99"/>
    <w:rPr>
      <w:rFonts w:ascii="Times New Roman" w:hAnsi="Times New Roman" w:eastAsia="宋体" w:cs="Times New Roman"/>
      <w:sz w:val="18"/>
      <w:szCs w:val="18"/>
    </w:rPr>
  </w:style>
  <w:style w:type="paragraph" w:customStyle="1" w:styleId="25">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6">
    <w:name w:val="普通(网站)1"/>
    <w:basedOn w:val="1"/>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1491</Words>
  <Characters>8501</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dcterms:modified xsi:type="dcterms:W3CDTF">2021-03-03T11:40:53Z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