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eastAsia="zh-CN"/>
        </w:rPr>
        <w:t>克孜勒苏柯尔克孜自治州动物卫生监督所部门（单位）</w:t>
      </w: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bookmarkStart w:id="0" w:name="_GoBack"/>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val="en-US" w:eastAsia="zh-CN"/>
        </w:rPr>
        <w:t>2021年</w:t>
      </w:r>
      <w:r>
        <w:rPr>
          <w:rFonts w:hint="eastAsia" w:ascii="仿宋_GB2312" w:hAnsi="宋体" w:eastAsia="仿宋_GB2312"/>
          <w:b/>
          <w:kern w:val="0"/>
          <w:sz w:val="32"/>
          <w:szCs w:val="32"/>
          <w:lang w:eastAsia="zh-CN"/>
        </w:rPr>
        <w:t>克孜勒苏柯尔克孜自治州动物卫生监督所部门（单位）</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克孜勒苏柯尔克孜自治州动物卫生监督所部门（单位）</w:t>
      </w:r>
      <w:r>
        <w:rPr>
          <w:rFonts w:hint="eastAsia" w:ascii="仿宋_GB2312" w:hAnsi="宋体" w:eastAsia="仿宋_GB2312"/>
          <w:b/>
          <w:kern w:val="0"/>
          <w:sz w:val="32"/>
          <w:szCs w:val="32"/>
        </w:rPr>
        <w:t>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克孜勒苏柯尔克孜自治州动物卫生监督所部门（单位）</w:t>
      </w:r>
      <w:r>
        <w:rPr>
          <w:rFonts w:hint="eastAsia" w:ascii="仿宋_GB2312" w:hAnsi="宋体" w:eastAsia="仿宋_GB2312"/>
          <w:bCs/>
          <w:kern w:val="0"/>
          <w:sz w:val="32"/>
          <w:szCs w:val="32"/>
          <w:lang w:val="en-US" w:eastAsia="zh-CN"/>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克孜勒苏柯尔克孜自治州动物卫生监督所部门（单位）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克孜勒苏柯尔克孜自治州动物卫生监督所部门（单位）</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 xml:space="preserve">   </w:t>
      </w:r>
      <w:r>
        <w:rPr>
          <w:rStyle w:val="23"/>
          <w:rFonts w:hint="eastAsia"/>
        </w:rPr>
        <w:t>克孜勒苏柯尔克孜自治州物卫生监督所主要职能为：认真贯彻执行《中华人民共和国动物防疫法》、《兽药管理条例》、《饲料和饲料添加剂管理条例》、农业部《兽用生物制品管理办法》和自治区《动物防疫条例》；依法实施动物防疫，动物及动物产品检疫监督，动物产品安全和兽药监管等行政执法工作；负责自治州动物防疫检疫的法制宣传、技术人员培训、查处违法案件，负责技术仲裁。</w:t>
      </w:r>
      <w:r>
        <w:rPr>
          <w:rFonts w:hint="eastAsia"/>
          <w:szCs w:val="32"/>
        </w:rPr>
        <w:t xml:space="preserve">  </w:t>
      </w:r>
      <w:r>
        <w:rPr>
          <w:rFonts w:hint="eastAsia" w:ascii="仿宋_GB2312" w:hAnsi="宋体" w:eastAsia="仿宋_GB2312" w:cs="宋体"/>
          <w:kern w:val="0"/>
          <w:sz w:val="32"/>
          <w:szCs w:val="32"/>
        </w:rPr>
        <w:t>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jc w:val="left"/>
        <w:rPr>
          <w:rStyle w:val="23"/>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lang w:eastAsia="zh-CN"/>
        </w:rPr>
        <w:t>克孜勒苏柯尔克孜自治州动物卫生监督所部门（单位）</w:t>
      </w:r>
      <w:r>
        <w:rPr>
          <w:rStyle w:val="23"/>
          <w:rFonts w:hint="eastAsia"/>
        </w:rPr>
        <w:t>无下属预算单位，下设</w:t>
      </w:r>
      <w:r>
        <w:rPr>
          <w:rStyle w:val="23"/>
          <w:rFonts w:hint="eastAsia" w:eastAsia="仿宋_GB2312"/>
          <w:lang w:val="en-US" w:eastAsia="zh-CN"/>
        </w:rPr>
        <w:t>2</w:t>
      </w:r>
      <w:r>
        <w:rPr>
          <w:rStyle w:val="23"/>
          <w:rFonts w:hint="eastAsia"/>
        </w:rPr>
        <w:t>个科室，分别是：办公室、</w:t>
      </w:r>
      <w:r>
        <w:rPr>
          <w:rStyle w:val="23"/>
          <w:rFonts w:hint="eastAsia" w:eastAsia="仿宋_GB2312"/>
          <w:lang w:eastAsia="zh-CN"/>
        </w:rPr>
        <w:t>综合业务科</w:t>
      </w:r>
      <w:r>
        <w:rPr>
          <w:rStyle w:val="23"/>
          <w:rFonts w:hint="eastAsia"/>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克孜勒苏柯尔克孜自治州动物卫生监督所部门（单位）</w:t>
      </w:r>
      <w:r>
        <w:rPr>
          <w:rFonts w:hint="eastAsia" w:ascii="仿宋_GB2312" w:hAnsi="宋体" w:eastAsia="仿宋_GB2312" w:cs="宋体"/>
          <w:kern w:val="0"/>
          <w:sz w:val="32"/>
          <w:szCs w:val="32"/>
        </w:rPr>
        <w:t>编制数 10 ，实有人数17人，其中：在职12人，减少3人，减少原因； 在职三人调到了克州执法大队。退休5人，增加0人；离休0人，增加0人。</w:t>
      </w: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center"/>
        <w:rPr>
          <w:rFonts w:ascii="黑体" w:hAnsi="黑体" w:eastAsia="黑体"/>
          <w:kern w:val="0"/>
          <w:sz w:val="32"/>
          <w:szCs w:val="32"/>
          <w:highlight w:val="none"/>
        </w:rPr>
      </w:pPr>
      <w:r>
        <w:rPr>
          <w:rFonts w:hint="eastAsia" w:ascii="黑体" w:hAnsi="黑体" w:eastAsia="黑体"/>
          <w:kern w:val="0"/>
          <w:sz w:val="32"/>
          <w:szCs w:val="32"/>
          <w:highlight w:val="none"/>
        </w:rPr>
        <w:t xml:space="preserve">二部分  </w:t>
      </w:r>
      <w:r>
        <w:rPr>
          <w:rFonts w:hint="eastAsia" w:ascii="黑体" w:hAnsi="黑体" w:eastAsia="黑体"/>
          <w:kern w:val="0"/>
          <w:sz w:val="32"/>
          <w:szCs w:val="32"/>
          <w:highlight w:val="none"/>
          <w:lang w:eastAsia="zh-CN"/>
        </w:rPr>
        <w:t>2021年克孜勒苏柯尔克孜自治州动物卫生监督所部门（单位）</w:t>
      </w:r>
      <w:r>
        <w:rPr>
          <w:rFonts w:hint="eastAsia" w:ascii="黑体" w:hAnsi="黑体" w:eastAsia="黑体"/>
          <w:kern w:val="0"/>
          <w:sz w:val="32"/>
          <w:szCs w:val="32"/>
          <w:highlight w:val="none"/>
        </w:rPr>
        <w:t>预算公开表</w:t>
      </w:r>
    </w:p>
    <w:p>
      <w:pPr>
        <w:widowControl/>
        <w:spacing w:line="280" w:lineRule="exac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表一：</w:t>
      </w:r>
    </w:p>
    <w:p>
      <w:pPr>
        <w:widowControl/>
        <w:spacing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lang w:eastAsia="zh-CN"/>
        </w:rPr>
        <w:t>克孜勒苏柯尔克孜自治州动物卫生监督所部门（单位）</w:t>
      </w:r>
      <w:r>
        <w:rPr>
          <w:rFonts w:hint="eastAsia" w:ascii="仿宋_GB2312" w:hAnsi="宋体" w:eastAsia="仿宋_GB2312"/>
          <w:b/>
          <w:kern w:val="0"/>
          <w:sz w:val="32"/>
          <w:szCs w:val="32"/>
          <w:highlight w:val="none"/>
        </w:rPr>
        <w:t>收支总体情况表</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1"/>
        <w:rPr>
          <w:rFonts w:ascii="仿宋_GB2312" w:hAnsi="宋体" w:eastAsia="仿宋_GB2312"/>
          <w:kern w:val="0"/>
          <w:sz w:val="24"/>
          <w:highlight w:val="none"/>
        </w:rPr>
      </w:pPr>
      <w:r>
        <w:rPr>
          <w:rFonts w:hint="eastAsia" w:ascii="仿宋_GB2312" w:hAnsi="宋体" w:eastAsia="仿宋_GB2312"/>
          <w:kern w:val="0"/>
          <w:sz w:val="24"/>
          <w:highlight w:val="none"/>
          <w:lang w:eastAsia="zh-CN"/>
        </w:rPr>
        <w:t>编制部门：克孜勒苏柯尔克孜自治州动物卫生监督所</w:t>
      </w:r>
      <w:r>
        <w:rPr>
          <w:rFonts w:hint="eastAsia" w:ascii="仿宋_GB2312" w:hAnsi="宋体" w:eastAsia="仿宋_GB2312"/>
          <w:kern w:val="0"/>
          <w:sz w:val="24"/>
          <w:highlight w:val="none"/>
        </w:rPr>
        <w:t xml:space="preserve">               单位：万元</w:t>
      </w:r>
    </w:p>
    <w:tbl>
      <w:tblPr>
        <w:tblStyle w:val="7"/>
        <w:tblW w:w="0" w:type="auto"/>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2"/>
                <w:szCs w:val="22"/>
                <w:highlight w:val="none"/>
              </w:rPr>
            </w:pPr>
            <w:r>
              <w:rPr>
                <w:rFonts w:hint="eastAsia" w:ascii="仿宋_GB2312" w:hAnsi="宋体" w:eastAsia="仿宋_GB2312" w:cs="宋体"/>
                <w:b/>
                <w:bCs/>
                <w:kern w:val="0"/>
                <w:sz w:val="22"/>
                <w:szCs w:val="22"/>
                <w:highlight w:val="none"/>
              </w:rPr>
              <w:t>收     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2"/>
                <w:szCs w:val="22"/>
                <w:highlight w:val="none"/>
              </w:rPr>
            </w:pPr>
            <w:r>
              <w:rPr>
                <w:rFonts w:hint="eastAsia" w:ascii="仿宋_GB2312" w:hAnsi="宋体" w:eastAsia="仿宋_GB2312" w:cs="宋体"/>
                <w:b/>
                <w:bCs/>
                <w:kern w:val="0"/>
                <w:sz w:val="22"/>
                <w:szCs w:val="22"/>
                <w:highlight w:val="none"/>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18"/>
                <w:szCs w:val="18"/>
                <w:highlight w:val="none"/>
              </w:rPr>
            </w:pPr>
            <w:r>
              <w:rPr>
                <w:rFonts w:hint="eastAsia" w:ascii="仿宋_GB2312" w:hAnsi="宋体" w:eastAsia="仿宋_GB2312" w:cs="宋体"/>
                <w:b/>
                <w:kern w:val="0"/>
                <w:sz w:val="18"/>
                <w:szCs w:val="18"/>
                <w:highlight w:val="none"/>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18"/>
                <w:szCs w:val="18"/>
                <w:highlight w:val="none"/>
              </w:rPr>
            </w:pPr>
            <w:r>
              <w:rPr>
                <w:rFonts w:hint="eastAsia" w:ascii="仿宋_GB2312" w:hAnsi="宋体" w:eastAsia="仿宋_GB2312" w:cs="宋体"/>
                <w:b/>
                <w:kern w:val="0"/>
                <w:sz w:val="18"/>
                <w:szCs w:val="18"/>
                <w:highlight w:val="none"/>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18"/>
                <w:szCs w:val="18"/>
                <w:highlight w:val="none"/>
              </w:rPr>
            </w:pPr>
            <w:r>
              <w:rPr>
                <w:rFonts w:hint="eastAsia" w:ascii="仿宋_GB2312" w:hAnsi="宋体" w:eastAsia="仿宋_GB2312" w:cs="宋体"/>
                <w:b/>
                <w:kern w:val="0"/>
                <w:sz w:val="18"/>
                <w:szCs w:val="18"/>
                <w:highlight w:val="none"/>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18"/>
                <w:szCs w:val="18"/>
                <w:highlight w:val="none"/>
              </w:rPr>
            </w:pPr>
            <w:r>
              <w:rPr>
                <w:rFonts w:hint="eastAsia" w:ascii="仿宋_GB2312" w:hAnsi="宋体" w:eastAsia="仿宋_GB2312" w:cs="宋体"/>
                <w:b/>
                <w:kern w:val="0"/>
                <w:sz w:val="18"/>
                <w:szCs w:val="18"/>
                <w:highlight w:val="none"/>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一、财政拨款（补助）</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165.19 </w:t>
            </w: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201 一般公共服务支出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        一般公共预算</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165.19 </w:t>
            </w: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202 外交支出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       政府性基金预算</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203 国防支出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       国有资本经营预算</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204 公共安全支出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教育收费（财政专户）</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205 教育支出</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2.60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事业收入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206 科学技术支出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上级补助收入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207 文化体育与传媒支出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keepNext w:val="0"/>
              <w:keepLines w:val="0"/>
              <w:widowControl/>
              <w:suppressLineNumbers w:val="0"/>
              <w:jc w:val="left"/>
              <w:textAlignment w:val="bottom"/>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事业单位经营收入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208 社会保障和就业支出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keepNext w:val="0"/>
              <w:keepLines w:val="0"/>
              <w:widowControl/>
              <w:suppressLineNumbers w:val="0"/>
              <w:jc w:val="left"/>
              <w:textAlignment w:val="bottom"/>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单位其他资金收入</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209 社会保险基金支出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keepNext w:val="0"/>
              <w:keepLines w:val="0"/>
              <w:widowControl/>
              <w:suppressLineNumbers w:val="0"/>
              <w:jc w:val="left"/>
              <w:textAlignment w:val="bottom"/>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上级专项收入</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210 卫生健康支出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keepNext w:val="0"/>
              <w:keepLines w:val="0"/>
              <w:widowControl/>
              <w:suppressLineNumbers w:val="0"/>
              <w:jc w:val="left"/>
              <w:textAlignment w:val="bottom"/>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用事业基金弥补收支差额</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211 节能环保支出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212 城乡社区支出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213 农林水支出</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168.59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214 交通运输支出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216 商业服务业等支出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217 金融支出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219 援助其他地区支出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221 住房保障支出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222 粮油物资管理支出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224 灾害防治及应急管理支出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227 预备费</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229 其他支出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bottom"/>
          </w:tcPr>
          <w:p>
            <w:pPr>
              <w:keepNext w:val="0"/>
              <w:keepLines w:val="0"/>
              <w:widowControl/>
              <w:suppressLineNumbers w:val="0"/>
              <w:jc w:val="left"/>
              <w:textAlignment w:val="bottom"/>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231 债务还本支出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232 债务付息支出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233 债务发行费支出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6"/>
                <w:szCs w:val="16"/>
                <w:highlight w:val="none"/>
              </w:rPr>
            </w:pPr>
          </w:p>
        </w:tc>
        <w:tc>
          <w:tcPr>
            <w:tcW w:w="2693"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234 抗疫特别国债安排的支出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highlight w:val="none"/>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keepNext w:val="0"/>
              <w:keepLines w:val="0"/>
              <w:widowControl/>
              <w:suppressLineNumbers w:val="0"/>
              <w:jc w:val="center"/>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收      入      总      计</w:t>
            </w:r>
          </w:p>
        </w:tc>
        <w:tc>
          <w:tcPr>
            <w:tcW w:w="19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
              </w:rPr>
              <w:t>171.19</w:t>
            </w:r>
          </w:p>
        </w:tc>
        <w:tc>
          <w:tcPr>
            <w:tcW w:w="2693"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ascii="仿宋_GB2312" w:hAnsi="宋体" w:eastAsia="仿宋_GB2312" w:cs="宋体"/>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
              </w:rPr>
              <w:t>支   出  总   计</w:t>
            </w:r>
          </w:p>
        </w:tc>
        <w:tc>
          <w:tcPr>
            <w:tcW w:w="170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仿宋_GB2312" w:hAnsi="宋体" w:eastAsia="仿宋_GB2312" w:cs="宋体"/>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
              </w:rPr>
              <w:t>171.19</w:t>
            </w:r>
          </w:p>
        </w:tc>
      </w:tr>
    </w:tbl>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表二：</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lang w:eastAsia="zh-CN"/>
        </w:rPr>
        <w:t>克孜勒苏柯尔克孜自治州动物卫生监督所部门（单位）</w:t>
      </w:r>
      <w:r>
        <w:rPr>
          <w:rFonts w:hint="eastAsia" w:ascii="仿宋_GB2312" w:hAnsi="宋体" w:eastAsia="仿宋_GB2312"/>
          <w:b/>
          <w:kern w:val="0"/>
          <w:sz w:val="32"/>
          <w:szCs w:val="32"/>
          <w:highlight w:val="none"/>
        </w:rPr>
        <w:t>收入总体情况表</w:t>
      </w: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lang w:eastAsia="zh-CN"/>
        </w:rPr>
        <w:t>编制部门：克孜勒苏柯尔克孜自治州动物卫生监督所</w:t>
      </w:r>
      <w:r>
        <w:rPr>
          <w:rFonts w:hint="eastAsia" w:ascii="仿宋_GB2312" w:hAnsi="宋体" w:eastAsia="仿宋_GB2312"/>
          <w:kern w:val="0"/>
          <w:sz w:val="24"/>
          <w:highlight w:val="none"/>
        </w:rPr>
        <w:t xml:space="preserve"> </w:t>
      </w:r>
      <w:r>
        <w:rPr>
          <w:rFonts w:hint="eastAsia" w:ascii="仿宋_GB2312" w:hAnsi="宋体" w:eastAsia="仿宋_GB2312"/>
          <w:kern w:val="0"/>
          <w:sz w:val="24"/>
          <w:highlight w:val="none"/>
          <w:lang w:val="en-US" w:eastAsia="zh-CN"/>
        </w:rPr>
        <w:t xml:space="preserve">    </w:t>
      </w:r>
      <w:r>
        <w:rPr>
          <w:rFonts w:hint="eastAsia" w:ascii="仿宋_GB2312" w:hAnsi="宋体" w:eastAsia="仿宋_GB2312"/>
          <w:kern w:val="0"/>
          <w:sz w:val="24"/>
          <w:highlight w:val="none"/>
        </w:rPr>
        <w:t xml:space="preserve">              单位：万元</w:t>
      </w:r>
    </w:p>
    <w:tbl>
      <w:tblPr>
        <w:tblStyle w:val="7"/>
        <w:tblW w:w="10651" w:type="dxa"/>
        <w:tblInd w:w="-450" w:type="dxa"/>
        <w:tblLayout w:type="fixed"/>
        <w:tblCellMar>
          <w:top w:w="0" w:type="dxa"/>
          <w:left w:w="108" w:type="dxa"/>
          <w:bottom w:w="0" w:type="dxa"/>
          <w:right w:w="108" w:type="dxa"/>
        </w:tblCellMar>
      </w:tblPr>
      <w:tblGrid>
        <w:gridCol w:w="331"/>
        <w:gridCol w:w="563"/>
        <w:gridCol w:w="560"/>
        <w:gridCol w:w="370"/>
        <w:gridCol w:w="1245"/>
        <w:gridCol w:w="705"/>
        <w:gridCol w:w="750"/>
        <w:gridCol w:w="457"/>
        <w:gridCol w:w="709"/>
        <w:gridCol w:w="709"/>
        <w:gridCol w:w="567"/>
        <w:gridCol w:w="567"/>
        <w:gridCol w:w="567"/>
        <w:gridCol w:w="567"/>
        <w:gridCol w:w="425"/>
        <w:gridCol w:w="709"/>
        <w:gridCol w:w="850"/>
      </w:tblGrid>
      <w:tr>
        <w:tblPrEx>
          <w:tblCellMar>
            <w:top w:w="0" w:type="dxa"/>
            <w:left w:w="108" w:type="dxa"/>
            <w:bottom w:w="0" w:type="dxa"/>
            <w:right w:w="108" w:type="dxa"/>
          </w:tblCellMar>
        </w:tblPrEx>
        <w:trPr>
          <w:trHeight w:val="2671" w:hRule="atLeast"/>
        </w:trPr>
        <w:tc>
          <w:tcPr>
            <w:tcW w:w="18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功能分类科目编码</w:t>
            </w:r>
          </w:p>
        </w:tc>
        <w:tc>
          <w:tcPr>
            <w:tcW w:w="124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功能分类科目名称</w:t>
            </w:r>
          </w:p>
        </w:tc>
        <w:tc>
          <w:tcPr>
            <w:tcW w:w="70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总  计</w:t>
            </w:r>
          </w:p>
        </w:tc>
        <w:tc>
          <w:tcPr>
            <w:tcW w:w="7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一般公共预算拨款</w:t>
            </w:r>
          </w:p>
        </w:tc>
        <w:tc>
          <w:tcPr>
            <w:tcW w:w="45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hint="eastAsia" w:ascii="仿宋_GB2312" w:eastAsia="仿宋_GB2312"/>
                <w:b/>
                <w:color w:val="000000"/>
                <w:sz w:val="20"/>
                <w:szCs w:val="20"/>
                <w:highlight w:val="none"/>
              </w:rPr>
            </w:pPr>
            <w:r>
              <w:rPr>
                <w:rFonts w:hint="eastAsia" w:ascii="仿宋_GB2312" w:eastAsia="仿宋_GB2312"/>
                <w:b/>
                <w:color w:val="000000"/>
                <w:sz w:val="20"/>
                <w:szCs w:val="20"/>
                <w:highlight w:val="none"/>
              </w:rPr>
              <w:t>国有资本</w:t>
            </w:r>
            <w:r>
              <w:rPr>
                <w:rFonts w:ascii="仿宋_GB2312" w:eastAsia="仿宋_GB2312"/>
                <w:b/>
                <w:color w:val="000000"/>
                <w:sz w:val="20"/>
                <w:szCs w:val="20"/>
                <w:highlight w:val="none"/>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级</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补助</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收</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单位上年结余（不包含国库集中支付额度</w:t>
            </w:r>
          </w:p>
        </w:tc>
      </w:tr>
      <w:tr>
        <w:tblPrEx>
          <w:tblCellMar>
            <w:top w:w="0" w:type="dxa"/>
            <w:left w:w="108" w:type="dxa"/>
            <w:bottom w:w="0" w:type="dxa"/>
            <w:right w:w="108" w:type="dxa"/>
          </w:tblCellMar>
        </w:tblPrEx>
        <w:trPr>
          <w:trHeight w:val="465" w:hRule="atLeast"/>
        </w:trPr>
        <w:tc>
          <w:tcPr>
            <w:tcW w:w="89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205</w:t>
            </w:r>
          </w:p>
        </w:tc>
        <w:tc>
          <w:tcPr>
            <w:tcW w:w="56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37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教育支出</w:t>
            </w: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89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205</w:t>
            </w:r>
          </w:p>
        </w:tc>
        <w:tc>
          <w:tcPr>
            <w:tcW w:w="5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02</w:t>
            </w:r>
          </w:p>
        </w:tc>
        <w:tc>
          <w:tcPr>
            <w:tcW w:w="37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普通教育</w:t>
            </w: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89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205</w:t>
            </w:r>
          </w:p>
        </w:tc>
        <w:tc>
          <w:tcPr>
            <w:tcW w:w="5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02</w:t>
            </w:r>
          </w:p>
        </w:tc>
        <w:tc>
          <w:tcPr>
            <w:tcW w:w="3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01</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学前教育</w:t>
            </w: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89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213</w:t>
            </w:r>
          </w:p>
        </w:tc>
        <w:tc>
          <w:tcPr>
            <w:tcW w:w="56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37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168.59 </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6.00 </w:t>
            </w:r>
          </w:p>
        </w:tc>
      </w:tr>
      <w:tr>
        <w:tblPrEx>
          <w:tblCellMar>
            <w:top w:w="0" w:type="dxa"/>
            <w:left w:w="108" w:type="dxa"/>
            <w:bottom w:w="0" w:type="dxa"/>
            <w:right w:w="108" w:type="dxa"/>
          </w:tblCellMar>
        </w:tblPrEx>
        <w:trPr>
          <w:trHeight w:val="465" w:hRule="atLeast"/>
        </w:trPr>
        <w:tc>
          <w:tcPr>
            <w:tcW w:w="89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213</w:t>
            </w:r>
          </w:p>
        </w:tc>
        <w:tc>
          <w:tcPr>
            <w:tcW w:w="5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01</w:t>
            </w:r>
          </w:p>
        </w:tc>
        <w:tc>
          <w:tcPr>
            <w:tcW w:w="37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168.59 </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6.00 </w:t>
            </w:r>
          </w:p>
        </w:tc>
      </w:tr>
      <w:tr>
        <w:tblPrEx>
          <w:tblCellMar>
            <w:top w:w="0" w:type="dxa"/>
            <w:left w:w="108" w:type="dxa"/>
            <w:bottom w:w="0" w:type="dxa"/>
            <w:right w:w="108" w:type="dxa"/>
          </w:tblCellMar>
        </w:tblPrEx>
        <w:trPr>
          <w:trHeight w:val="465" w:hRule="atLeast"/>
        </w:trPr>
        <w:tc>
          <w:tcPr>
            <w:tcW w:w="89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213</w:t>
            </w:r>
          </w:p>
        </w:tc>
        <w:tc>
          <w:tcPr>
            <w:tcW w:w="5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01</w:t>
            </w:r>
          </w:p>
        </w:tc>
        <w:tc>
          <w:tcPr>
            <w:tcW w:w="3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08</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病虫害控制</w:t>
            </w: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6.00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6.00 </w:t>
            </w:r>
          </w:p>
        </w:tc>
      </w:tr>
      <w:tr>
        <w:tblPrEx>
          <w:tblCellMar>
            <w:top w:w="0" w:type="dxa"/>
            <w:left w:w="108" w:type="dxa"/>
            <w:bottom w:w="0" w:type="dxa"/>
            <w:right w:w="108" w:type="dxa"/>
          </w:tblCellMar>
        </w:tblPrEx>
        <w:trPr>
          <w:trHeight w:val="465" w:hRule="atLeast"/>
        </w:trPr>
        <w:tc>
          <w:tcPr>
            <w:tcW w:w="89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213</w:t>
            </w:r>
          </w:p>
        </w:tc>
        <w:tc>
          <w:tcPr>
            <w:tcW w:w="5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01</w:t>
            </w:r>
          </w:p>
        </w:tc>
        <w:tc>
          <w:tcPr>
            <w:tcW w:w="3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01</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行政运行（农业）</w:t>
            </w: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681"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23"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4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r>
              <w:rPr>
                <w:rFonts w:hint="eastAsia" w:ascii="仿宋_GB2312" w:eastAsia="仿宋_GB2312"/>
                <w:b/>
                <w:bCs/>
                <w:color w:val="000000"/>
                <w:sz w:val="20"/>
                <w:szCs w:val="20"/>
                <w:highlight w:val="none"/>
              </w:rPr>
              <w:t>合  计</w:t>
            </w:r>
            <w:r>
              <w:rPr>
                <w:rFonts w:hint="eastAsia" w:ascii="仿宋_GB2312" w:eastAsia="仿宋_GB2312"/>
                <w:color w:val="000000"/>
                <w:sz w:val="20"/>
                <w:szCs w:val="20"/>
                <w:highlight w:val="none"/>
              </w:rPr>
              <w:t>　</w:t>
            </w:r>
          </w:p>
        </w:tc>
        <w:tc>
          <w:tcPr>
            <w:tcW w:w="7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171.19 </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165.19 </w:t>
            </w:r>
          </w:p>
        </w:tc>
        <w:tc>
          <w:tcPr>
            <w:tcW w:w="4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709" w:type="dxa"/>
            <w:tcBorders>
              <w:top w:val="nil"/>
              <w:left w:val="nil"/>
              <w:bottom w:val="single" w:color="auto" w:sz="4" w:space="0"/>
              <w:right w:val="nil"/>
            </w:tcBorders>
            <w:vAlign w:val="center"/>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6.00 </w:t>
            </w:r>
          </w:p>
        </w:tc>
      </w:tr>
    </w:tbl>
    <w:p>
      <w:pPr>
        <w:widowControl/>
        <w:spacing w:line="280" w:lineRule="exact"/>
        <w:outlineLvl w:val="1"/>
        <w:rPr>
          <w:rFonts w:ascii="仿宋_GB2312" w:hAnsi="宋体" w:eastAsia="仿宋_GB2312"/>
          <w:b/>
          <w:kern w:val="0"/>
          <w:sz w:val="28"/>
          <w:szCs w:val="32"/>
          <w:highlight w:val="none"/>
        </w:rPr>
      </w:pPr>
    </w:p>
    <w:p>
      <w:pPr>
        <w:widowControl/>
        <w:spacing w:line="280" w:lineRule="exact"/>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表三：</w:t>
      </w:r>
    </w:p>
    <w:p>
      <w:pPr>
        <w:widowControl/>
        <w:spacing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lang w:eastAsia="zh-CN"/>
        </w:rPr>
        <w:t>克孜勒苏柯尔克孜自治州动物卫生监督所部门（单位）</w:t>
      </w:r>
      <w:r>
        <w:rPr>
          <w:rFonts w:hint="eastAsia" w:ascii="仿宋_GB2312" w:hAnsi="宋体" w:eastAsia="仿宋_GB2312"/>
          <w:b/>
          <w:kern w:val="0"/>
          <w:sz w:val="32"/>
          <w:szCs w:val="32"/>
          <w:highlight w:val="none"/>
        </w:rPr>
        <w:t>支出总体情况表</w:t>
      </w:r>
    </w:p>
    <w:p>
      <w:pPr>
        <w:widowControl/>
        <w:spacing w:line="280" w:lineRule="exact"/>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lang w:eastAsia="zh-CN"/>
        </w:rPr>
        <w:t>编制部门：克孜勒苏柯尔克孜自治州动物卫生监督所</w:t>
      </w:r>
      <w:r>
        <w:rPr>
          <w:rFonts w:hint="eastAsia" w:ascii="仿宋_GB2312" w:hAnsi="宋体" w:eastAsia="仿宋_GB2312"/>
          <w:kern w:val="0"/>
          <w:sz w:val="24"/>
          <w:highlight w:val="none"/>
        </w:rPr>
        <w:t xml:space="preserve">                  单位：万元</w:t>
      </w:r>
    </w:p>
    <w:tbl>
      <w:tblPr>
        <w:tblStyle w:val="7"/>
        <w:tblW w:w="9420" w:type="dxa"/>
        <w:tblInd w:w="-240" w:type="dxa"/>
        <w:tblLayout w:type="fixed"/>
        <w:tblCellMar>
          <w:top w:w="0" w:type="dxa"/>
          <w:left w:w="108" w:type="dxa"/>
          <w:bottom w:w="0" w:type="dxa"/>
          <w:right w:w="108" w:type="dxa"/>
        </w:tblCellMar>
      </w:tblPr>
      <w:tblGrid>
        <w:gridCol w:w="1125"/>
        <w:gridCol w:w="750"/>
        <w:gridCol w:w="555"/>
        <w:gridCol w:w="1375"/>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支出预算</w:t>
            </w:r>
          </w:p>
        </w:tc>
      </w:tr>
      <w:tr>
        <w:tblPrEx>
          <w:tblCellMar>
            <w:top w:w="0" w:type="dxa"/>
            <w:left w:w="108" w:type="dxa"/>
            <w:bottom w:w="0" w:type="dxa"/>
            <w:right w:w="108" w:type="dxa"/>
          </w:tblCellMar>
        </w:tblPrEx>
        <w:trPr>
          <w:trHeight w:val="480" w:hRule="atLeast"/>
        </w:trPr>
        <w:tc>
          <w:tcPr>
            <w:tcW w:w="243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功能分类科目编码</w:t>
            </w:r>
          </w:p>
        </w:tc>
        <w:tc>
          <w:tcPr>
            <w:tcW w:w="137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项目支出</w:t>
            </w:r>
          </w:p>
        </w:tc>
      </w:tr>
      <w:tr>
        <w:tblPrEx>
          <w:tblCellMar>
            <w:top w:w="0" w:type="dxa"/>
            <w:left w:w="108" w:type="dxa"/>
            <w:bottom w:w="0" w:type="dxa"/>
            <w:right w:w="108" w:type="dxa"/>
          </w:tblCellMar>
        </w:tblPrEx>
        <w:trPr>
          <w:trHeight w:val="270"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类</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款</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项</w:t>
            </w:r>
          </w:p>
        </w:tc>
        <w:tc>
          <w:tcPr>
            <w:tcW w:w="137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75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教育支出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55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普通教育</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5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学前教育</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2.60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213</w:t>
            </w:r>
          </w:p>
        </w:tc>
        <w:tc>
          <w:tcPr>
            <w:tcW w:w="75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农林水支出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168.59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6.00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213</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55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农业农村</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168.59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6.00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213</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5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08</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病虫害控制</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6.00 </w:t>
            </w:r>
          </w:p>
        </w:tc>
        <w:tc>
          <w:tcPr>
            <w:tcW w:w="1856"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6.00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213</w:t>
            </w:r>
          </w:p>
        </w:tc>
        <w:tc>
          <w:tcPr>
            <w:tcW w:w="7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5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行政运行（农业）</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u w:val="none"/>
                <w:lang w:val="en-US" w:eastAsia="zh-CN" w:bidi="ar"/>
              </w:rPr>
              <w:t xml:space="preserve">162.59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112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7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579" w:hRule="atLeast"/>
        </w:trPr>
        <w:tc>
          <w:tcPr>
            <w:tcW w:w="112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750"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55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3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highlight w:val="none"/>
              </w:rPr>
            </w:pPr>
            <w:r>
              <w:rPr>
                <w:rFonts w:hint="eastAsia" w:ascii="宋体" w:hAnsi="宋体" w:cs="宋体"/>
                <w:b/>
                <w:bCs/>
                <w:color w:val="000000"/>
                <w:kern w:val="0"/>
                <w:sz w:val="22"/>
                <w:szCs w:val="22"/>
                <w:highlight w:val="none"/>
              </w:rPr>
              <w:t>合  计</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highlight w:val="none"/>
              </w:rPr>
            </w:pPr>
            <w:r>
              <w:rPr>
                <w:rFonts w:hint="eastAsia" w:ascii="宋体" w:hAnsi="宋体" w:eastAsia="宋体" w:cs="宋体"/>
                <w:i w:val="0"/>
                <w:color w:val="000000"/>
                <w:kern w:val="0"/>
                <w:sz w:val="20"/>
                <w:szCs w:val="20"/>
                <w:highlight w:val="none"/>
                <w:u w:val="none"/>
                <w:lang w:val="en-US" w:eastAsia="zh-CN" w:bidi="ar"/>
              </w:rPr>
              <w:t>171.19</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highlight w:val="none"/>
              </w:rPr>
            </w:pPr>
            <w:r>
              <w:rPr>
                <w:rFonts w:hint="eastAsia" w:ascii="宋体" w:hAnsi="宋体" w:eastAsia="宋体" w:cs="宋体"/>
                <w:i w:val="0"/>
                <w:color w:val="000000"/>
                <w:kern w:val="0"/>
                <w:sz w:val="20"/>
                <w:szCs w:val="20"/>
                <w:highlight w:val="none"/>
                <w:u w:val="none"/>
                <w:lang w:val="en-US" w:eastAsia="zh-CN" w:bidi="ar"/>
              </w:rPr>
              <w:t>165.19</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highlight w:val="none"/>
              </w:rPr>
            </w:pPr>
            <w:r>
              <w:rPr>
                <w:rFonts w:hint="eastAsia" w:ascii="宋体" w:hAnsi="宋体" w:eastAsia="宋体" w:cs="宋体"/>
                <w:i w:val="0"/>
                <w:color w:val="000000"/>
                <w:kern w:val="0"/>
                <w:sz w:val="20"/>
                <w:szCs w:val="20"/>
                <w:highlight w:val="none"/>
                <w:u w:val="none"/>
                <w:lang w:val="en-US" w:eastAsia="zh-CN" w:bidi="ar"/>
              </w:rPr>
              <w:t>6.00</w:t>
            </w:r>
          </w:p>
        </w:tc>
      </w:tr>
    </w:tbl>
    <w:p>
      <w:pPr>
        <w:widowControl/>
        <w:outlineLvl w:val="1"/>
        <w:rPr>
          <w:rFonts w:ascii="仿宋_GB2312" w:hAnsi="宋体" w:eastAsia="仿宋_GB2312"/>
          <w:b/>
          <w:kern w:val="0"/>
          <w:sz w:val="28"/>
          <w:szCs w:val="32"/>
          <w:highlight w:val="none"/>
        </w:rPr>
      </w:pPr>
    </w:p>
    <w:p>
      <w:pPr>
        <w:widowControl/>
        <w:spacing w:before="120" w:beforeLines="50" w:line="280" w:lineRule="exac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表四：</w:t>
      </w:r>
    </w:p>
    <w:p>
      <w:pPr>
        <w:widowControl/>
        <w:spacing w:before="120" w:beforeLines="50"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财政拨款收支预算总体情况表</w:t>
      </w:r>
    </w:p>
    <w:p>
      <w:pPr>
        <w:keepNext w:val="0"/>
        <w:keepLines w:val="0"/>
        <w:pageBreakBefore w:val="0"/>
        <w:widowControl/>
        <w:kinsoku/>
        <w:wordWrap/>
        <w:overflowPunct/>
        <w:topLinePunct w:val="0"/>
        <w:autoSpaceDE/>
        <w:autoSpaceDN/>
        <w:bidi w:val="0"/>
        <w:adjustRightInd/>
        <w:snapToGrid/>
        <w:spacing w:before="120" w:beforeLines="50" w:line="280" w:lineRule="exact"/>
        <w:jc w:val="left"/>
        <w:textAlignment w:val="auto"/>
        <w:outlineLvl w:val="1"/>
        <w:rPr>
          <w:rFonts w:ascii="仿宋_GB2312" w:hAnsi="宋体" w:eastAsia="仿宋_GB2312"/>
          <w:kern w:val="0"/>
          <w:szCs w:val="21"/>
          <w:highlight w:val="none"/>
        </w:rPr>
      </w:pPr>
      <w:r>
        <w:rPr>
          <w:rFonts w:hint="eastAsia" w:ascii="仿宋_GB2312" w:hAnsi="宋体" w:eastAsia="仿宋_GB2312"/>
          <w:kern w:val="0"/>
          <w:szCs w:val="21"/>
          <w:highlight w:val="none"/>
          <w:lang w:eastAsia="zh-CN"/>
        </w:rPr>
        <w:t>编制部门：克孜勒苏柯尔克孜自治州动物卫生监督所</w:t>
      </w:r>
      <w:r>
        <w:rPr>
          <w:rFonts w:hint="eastAsia" w:ascii="仿宋_GB2312" w:hAnsi="宋体" w:eastAsia="仿宋_GB2312"/>
          <w:kern w:val="0"/>
          <w:szCs w:val="21"/>
          <w:highlight w:val="none"/>
        </w:rPr>
        <w:t xml:space="preserve">                       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一、财政拨款（补助）</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165.19 </w:t>
            </w:r>
          </w:p>
        </w:tc>
        <w:tc>
          <w:tcPr>
            <w:tcW w:w="258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201 一般公共服务支出</w:t>
            </w:r>
          </w:p>
        </w:tc>
        <w:tc>
          <w:tcPr>
            <w:tcW w:w="901"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       一般公共预算</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165.19 </w:t>
            </w: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202 外交支出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        政府性基金预算</w:t>
            </w: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203 国防支出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         国有资本经营预算</w:t>
            </w: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204 公共安全支出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205 教育支出</w:t>
            </w:r>
          </w:p>
        </w:tc>
        <w:tc>
          <w:tcPr>
            <w:tcW w:w="9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2.60 </w:t>
            </w: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2.60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206 科学技术支出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207 文化旅游体育与传媒支出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208 社会保障和就业支出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209 社会保险基金支出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210 卫生健康支出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211 节能环保支出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212 城乡社区支出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213 农林水支出</w:t>
            </w:r>
          </w:p>
        </w:tc>
        <w:tc>
          <w:tcPr>
            <w:tcW w:w="9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162.59 </w:t>
            </w: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highlight w:val="none"/>
              </w:rPr>
            </w:pPr>
            <w:r>
              <w:rPr>
                <w:rFonts w:hint="eastAsia" w:ascii="宋体" w:hAnsi="宋体" w:eastAsia="宋体" w:cs="宋体"/>
                <w:i w:val="0"/>
                <w:color w:val="000000"/>
                <w:kern w:val="0"/>
                <w:sz w:val="16"/>
                <w:szCs w:val="16"/>
                <w:u w:val="none"/>
                <w:lang w:val="en-US" w:eastAsia="zh-CN" w:bidi="ar"/>
              </w:rPr>
              <w:t xml:space="preserve">162.59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214 交通运输支出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215 资源勘探工业信息等支出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216 商业服务业等支出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217 金融支出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219 援助其他地区支出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220 自然资源海洋气象等支出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221 住房保障支出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222 粮油物资管理支出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223 国有资本经营预算支出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224 灾害防治及应急管理支出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227 预备费</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229 其他支出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231 债务还本支出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232 债务付息支出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233 债务发行费支出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6"/>
                <w:szCs w:val="16"/>
                <w:highlight w:val="none"/>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6"/>
                <w:szCs w:val="16"/>
                <w:highlight w:val="none"/>
              </w:rPr>
            </w:pP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仿宋_GB2312" w:hAnsi="宋体" w:eastAsia="仿宋_GB2312" w:cs="宋体"/>
                <w:kern w:val="0"/>
                <w:sz w:val="16"/>
                <w:szCs w:val="16"/>
                <w:highlight w:val="none"/>
              </w:rPr>
            </w:pPr>
            <w:r>
              <w:rPr>
                <w:rFonts w:hint="eastAsia" w:ascii="宋体" w:hAnsi="宋体" w:eastAsia="宋体" w:cs="宋体"/>
                <w:i w:val="0"/>
                <w:color w:val="000000"/>
                <w:kern w:val="0"/>
                <w:sz w:val="16"/>
                <w:szCs w:val="16"/>
                <w:u w:val="none"/>
                <w:lang w:val="en-US" w:eastAsia="zh-CN" w:bidi="ar"/>
              </w:rPr>
              <w:t>234 抗疫特别国债安排的支出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仿宋_GB2312" w:hAnsi="宋体" w:eastAsia="仿宋_GB2312" w:cs="宋体"/>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收      入      总      计</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 xml:space="preserve">165.19 </w:t>
            </w: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_GB2312" w:hAnsi="宋体" w:eastAsia="仿宋_GB2312" w:cs="宋体"/>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支   出  总   计</w:t>
            </w:r>
          </w:p>
        </w:tc>
        <w:tc>
          <w:tcPr>
            <w:tcW w:w="9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
              </w:rPr>
              <w:t xml:space="preserve">165.19 </w:t>
            </w: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
              </w:rPr>
              <w:t xml:space="preserve">165.19 </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highlight w:val="none"/>
              </w:rPr>
            </w:pPr>
          </w:p>
        </w:tc>
      </w:tr>
    </w:tbl>
    <w:p>
      <w:pPr>
        <w:widowControl/>
        <w:outlineLvl w:val="1"/>
        <w:rPr>
          <w:rFonts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noWrap/>
            <w:vAlign w:val="center"/>
          </w:tcPr>
          <w:p>
            <w:pPr>
              <w:widowControl/>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eastAsia="zh-CN"/>
              </w:rPr>
              <w:t>编制部门：克孜勒苏柯尔克孜自治州动物卫生监督所</w:t>
            </w:r>
          </w:p>
        </w:tc>
        <w:tc>
          <w:tcPr>
            <w:tcW w:w="660" w:type="dxa"/>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p>
        </w:tc>
        <w:tc>
          <w:tcPr>
            <w:tcW w:w="1240"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xml:space="preserve">  </w:t>
            </w:r>
          </w:p>
        </w:tc>
        <w:tc>
          <w:tcPr>
            <w:tcW w:w="3327"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val="0"/>
                <w:bCs w:val="0"/>
                <w:color w:val="000000"/>
                <w:kern w:val="0"/>
                <w:sz w:val="20"/>
                <w:szCs w:val="20"/>
                <w:highlight w:val="none"/>
              </w:rPr>
            </w:pPr>
            <w:r>
              <w:rPr>
                <w:rFonts w:hint="eastAsia" w:ascii="宋体" w:hAnsi="宋体" w:eastAsia="宋体" w:cs="宋体"/>
                <w:b w:val="0"/>
                <w:bCs w:val="0"/>
                <w:i w:val="0"/>
                <w:color w:val="000000"/>
                <w:kern w:val="0"/>
                <w:sz w:val="18"/>
                <w:szCs w:val="18"/>
                <w:highlight w:val="none"/>
                <w:u w:val="none"/>
                <w:lang w:val="en-US" w:eastAsia="zh-CN" w:bidi="ar"/>
              </w:rPr>
              <w:t>教育支出</w:t>
            </w:r>
          </w:p>
        </w:tc>
        <w:tc>
          <w:tcPr>
            <w:tcW w:w="1684"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b w:val="0"/>
                <w:bCs/>
                <w:color w:val="000000"/>
                <w:kern w:val="0"/>
                <w:sz w:val="20"/>
                <w:szCs w:val="20"/>
                <w:highlight w:val="none"/>
                <w:lang w:val="en-US" w:eastAsia="zh-CN"/>
              </w:rPr>
            </w:pPr>
            <w:r>
              <w:rPr>
                <w:rFonts w:hint="eastAsia" w:ascii="仿宋_GB2312" w:hAnsi="宋体" w:eastAsia="仿宋_GB2312" w:cs="宋体"/>
                <w:b w:val="0"/>
                <w:bCs/>
                <w:color w:val="000000"/>
                <w:kern w:val="0"/>
                <w:sz w:val="20"/>
                <w:szCs w:val="20"/>
                <w:highlight w:val="none"/>
              </w:rPr>
              <w:t>　</w:t>
            </w:r>
            <w:r>
              <w:rPr>
                <w:rFonts w:hint="eastAsia" w:ascii="仿宋_GB2312" w:hAnsi="宋体" w:eastAsia="仿宋_GB2312" w:cs="宋体"/>
                <w:b w:val="0"/>
                <w:bCs/>
                <w:color w:val="000000"/>
                <w:kern w:val="0"/>
                <w:sz w:val="20"/>
                <w:szCs w:val="20"/>
                <w:highlight w:val="none"/>
                <w:lang w:val="en-US" w:eastAsia="zh-CN"/>
              </w:rPr>
              <w:t>2.60</w:t>
            </w:r>
          </w:p>
        </w:tc>
        <w:tc>
          <w:tcPr>
            <w:tcW w:w="1842"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b w:val="0"/>
                <w:bCs/>
                <w:color w:val="000000"/>
                <w:kern w:val="0"/>
                <w:sz w:val="20"/>
                <w:szCs w:val="20"/>
                <w:highlight w:val="none"/>
                <w:lang w:val="en-US" w:eastAsia="zh-CN"/>
              </w:rPr>
            </w:pPr>
            <w:r>
              <w:rPr>
                <w:rFonts w:hint="eastAsia" w:ascii="仿宋_GB2312" w:hAnsi="宋体" w:eastAsia="仿宋_GB2312" w:cs="宋体"/>
                <w:b w:val="0"/>
                <w:bCs/>
                <w:color w:val="000000"/>
                <w:kern w:val="0"/>
                <w:sz w:val="20"/>
                <w:szCs w:val="20"/>
                <w:highlight w:val="none"/>
              </w:rPr>
              <w:t>　</w:t>
            </w:r>
            <w:r>
              <w:rPr>
                <w:rFonts w:hint="eastAsia" w:ascii="仿宋_GB2312" w:hAnsi="宋体" w:eastAsia="仿宋_GB2312" w:cs="宋体"/>
                <w:b w:val="0"/>
                <w:bCs/>
                <w:color w:val="000000"/>
                <w:kern w:val="0"/>
                <w:sz w:val="20"/>
                <w:szCs w:val="20"/>
                <w:highlight w:val="none"/>
                <w:lang w:val="en-US" w:eastAsia="zh-CN"/>
              </w:rPr>
              <w:t>2.60</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highlight w:val="none"/>
              </w:rPr>
            </w:pPr>
            <w:r>
              <w:rPr>
                <w:rFonts w:hint="eastAsia" w:ascii="仿宋_GB2312" w:hAnsi="宋体" w:eastAsia="仿宋_GB2312" w:cs="宋体"/>
                <w:b/>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0"/>
                <w:szCs w:val="20"/>
                <w:highlight w:val="none"/>
              </w:rPr>
            </w:pPr>
            <w:r>
              <w:rPr>
                <w:rFonts w:hint="eastAsia" w:ascii="宋体" w:hAnsi="宋体" w:eastAsia="宋体" w:cs="宋体"/>
                <w:b w:val="0"/>
                <w:bCs w:val="0"/>
                <w:i w:val="0"/>
                <w:color w:val="000000"/>
                <w:kern w:val="0"/>
                <w:sz w:val="18"/>
                <w:szCs w:val="18"/>
                <w:highlight w:val="none"/>
                <w:u w:val="none"/>
                <w:lang w:val="en-US" w:eastAsia="zh-CN" w:bidi="ar"/>
              </w:rPr>
              <w:t>普通教育</w:t>
            </w:r>
          </w:p>
        </w:tc>
        <w:tc>
          <w:tcPr>
            <w:tcW w:w="1684" w:type="dxa"/>
            <w:gridSpan w:val="2"/>
            <w:tcBorders>
              <w:top w:val="nil"/>
              <w:left w:val="nil"/>
              <w:bottom w:val="single" w:color="auto" w:sz="4" w:space="0"/>
              <w:right w:val="single" w:color="auto" w:sz="4" w:space="0"/>
            </w:tcBorders>
            <w:vAlign w:val="center"/>
          </w:tcPr>
          <w:p>
            <w:pPr>
              <w:widowControl/>
              <w:jc w:val="left"/>
              <w:rPr>
                <w:rFonts w:hint="default" w:ascii="宋体" w:hAnsi="宋体" w:cs="宋体"/>
                <w:b w:val="0"/>
                <w:bCs/>
                <w:color w:val="000000"/>
                <w:kern w:val="0"/>
                <w:sz w:val="20"/>
                <w:szCs w:val="20"/>
                <w:highlight w:val="none"/>
                <w:lang w:val="en-US"/>
              </w:rPr>
            </w:pPr>
            <w:r>
              <w:rPr>
                <w:rFonts w:hint="eastAsia" w:ascii="仿宋_GB2312" w:hAnsi="宋体" w:eastAsia="仿宋_GB2312" w:cs="宋体"/>
                <w:b w:val="0"/>
                <w:bCs/>
                <w:color w:val="000000"/>
                <w:kern w:val="0"/>
                <w:sz w:val="20"/>
                <w:szCs w:val="20"/>
                <w:highlight w:val="none"/>
              </w:rPr>
              <w:t>　</w:t>
            </w:r>
            <w:r>
              <w:rPr>
                <w:rFonts w:hint="eastAsia" w:ascii="仿宋_GB2312" w:hAnsi="宋体" w:eastAsia="仿宋_GB2312" w:cs="宋体"/>
                <w:b w:val="0"/>
                <w:bCs/>
                <w:color w:val="000000"/>
                <w:kern w:val="0"/>
                <w:sz w:val="20"/>
                <w:szCs w:val="20"/>
                <w:highlight w:val="none"/>
                <w:lang w:val="en-US" w:eastAsia="zh-CN"/>
              </w:rPr>
              <w:t>2.60</w:t>
            </w:r>
          </w:p>
        </w:tc>
        <w:tc>
          <w:tcPr>
            <w:tcW w:w="1842" w:type="dxa"/>
            <w:gridSpan w:val="2"/>
            <w:tcBorders>
              <w:top w:val="nil"/>
              <w:left w:val="nil"/>
              <w:bottom w:val="single" w:color="auto" w:sz="4" w:space="0"/>
              <w:right w:val="single" w:color="auto" w:sz="4" w:space="0"/>
            </w:tcBorders>
            <w:vAlign w:val="center"/>
          </w:tcPr>
          <w:p>
            <w:pPr>
              <w:widowControl/>
              <w:jc w:val="left"/>
              <w:rPr>
                <w:rFonts w:hint="default" w:ascii="宋体" w:hAnsi="宋体" w:cs="宋体"/>
                <w:b w:val="0"/>
                <w:bCs/>
                <w:color w:val="000000"/>
                <w:kern w:val="0"/>
                <w:sz w:val="20"/>
                <w:szCs w:val="20"/>
                <w:highlight w:val="none"/>
                <w:lang w:val="en-US"/>
              </w:rPr>
            </w:pPr>
            <w:r>
              <w:rPr>
                <w:rFonts w:hint="eastAsia" w:ascii="仿宋_GB2312" w:hAnsi="宋体" w:eastAsia="仿宋_GB2312" w:cs="宋体"/>
                <w:b w:val="0"/>
                <w:bCs/>
                <w:color w:val="000000"/>
                <w:kern w:val="0"/>
                <w:sz w:val="20"/>
                <w:szCs w:val="20"/>
                <w:highlight w:val="none"/>
              </w:rPr>
              <w:t>　</w:t>
            </w:r>
            <w:r>
              <w:rPr>
                <w:rFonts w:hint="eastAsia" w:ascii="仿宋_GB2312" w:hAnsi="宋体" w:eastAsia="仿宋_GB2312" w:cs="宋体"/>
                <w:b w:val="0"/>
                <w:bCs/>
                <w:color w:val="000000"/>
                <w:kern w:val="0"/>
                <w:sz w:val="20"/>
                <w:szCs w:val="20"/>
                <w:highlight w:val="none"/>
                <w:lang w:val="en-US" w:eastAsia="zh-CN"/>
              </w:rPr>
              <w:t>2.60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0"/>
                <w:szCs w:val="20"/>
                <w:highlight w:val="none"/>
              </w:rPr>
            </w:pPr>
            <w:r>
              <w:rPr>
                <w:rFonts w:hint="eastAsia" w:ascii="宋体" w:hAnsi="宋体" w:eastAsia="宋体" w:cs="宋体"/>
                <w:b w:val="0"/>
                <w:bCs w:val="0"/>
                <w:i w:val="0"/>
                <w:color w:val="000000"/>
                <w:kern w:val="0"/>
                <w:sz w:val="18"/>
                <w:szCs w:val="18"/>
                <w:highlight w:val="none"/>
                <w:u w:val="none"/>
                <w:lang w:val="en-US" w:eastAsia="zh-CN" w:bidi="ar"/>
              </w:rPr>
              <w:t>学前教育</w:t>
            </w:r>
          </w:p>
        </w:tc>
        <w:tc>
          <w:tcPr>
            <w:tcW w:w="1684" w:type="dxa"/>
            <w:gridSpan w:val="2"/>
            <w:tcBorders>
              <w:top w:val="nil"/>
              <w:left w:val="nil"/>
              <w:bottom w:val="single" w:color="auto" w:sz="4" w:space="0"/>
              <w:right w:val="single" w:color="auto" w:sz="4" w:space="0"/>
            </w:tcBorders>
            <w:vAlign w:val="center"/>
          </w:tcPr>
          <w:p>
            <w:pPr>
              <w:widowControl/>
              <w:jc w:val="left"/>
              <w:rPr>
                <w:rFonts w:hint="default" w:ascii="宋体" w:hAnsi="宋体" w:cs="宋体"/>
                <w:b w:val="0"/>
                <w:bCs/>
                <w:color w:val="000000"/>
                <w:kern w:val="0"/>
                <w:sz w:val="20"/>
                <w:szCs w:val="20"/>
                <w:highlight w:val="none"/>
                <w:lang w:val="en-US"/>
              </w:rPr>
            </w:pPr>
            <w:r>
              <w:rPr>
                <w:rFonts w:hint="eastAsia" w:ascii="仿宋_GB2312" w:hAnsi="宋体" w:eastAsia="仿宋_GB2312" w:cs="宋体"/>
                <w:b w:val="0"/>
                <w:bCs/>
                <w:color w:val="000000"/>
                <w:kern w:val="0"/>
                <w:sz w:val="20"/>
                <w:szCs w:val="20"/>
                <w:highlight w:val="none"/>
              </w:rPr>
              <w:t>　</w:t>
            </w:r>
            <w:r>
              <w:rPr>
                <w:rFonts w:hint="eastAsia" w:ascii="仿宋_GB2312" w:hAnsi="宋体" w:eastAsia="仿宋_GB2312" w:cs="宋体"/>
                <w:b w:val="0"/>
                <w:bCs/>
                <w:color w:val="000000"/>
                <w:kern w:val="0"/>
                <w:sz w:val="20"/>
                <w:szCs w:val="20"/>
                <w:highlight w:val="none"/>
                <w:lang w:val="en-US" w:eastAsia="zh-CN"/>
              </w:rPr>
              <w:t>2.60</w:t>
            </w:r>
          </w:p>
        </w:tc>
        <w:tc>
          <w:tcPr>
            <w:tcW w:w="1842" w:type="dxa"/>
            <w:gridSpan w:val="2"/>
            <w:tcBorders>
              <w:top w:val="nil"/>
              <w:left w:val="nil"/>
              <w:bottom w:val="single" w:color="auto" w:sz="4" w:space="0"/>
              <w:right w:val="single" w:color="auto" w:sz="4" w:space="0"/>
            </w:tcBorders>
            <w:vAlign w:val="center"/>
          </w:tcPr>
          <w:p>
            <w:pPr>
              <w:widowControl/>
              <w:jc w:val="left"/>
              <w:rPr>
                <w:rFonts w:hint="default" w:ascii="宋体" w:hAnsi="宋体" w:cs="宋体"/>
                <w:b w:val="0"/>
                <w:bCs/>
                <w:color w:val="000000"/>
                <w:kern w:val="0"/>
                <w:sz w:val="20"/>
                <w:szCs w:val="20"/>
                <w:highlight w:val="none"/>
                <w:lang w:val="en-US"/>
              </w:rPr>
            </w:pPr>
            <w:r>
              <w:rPr>
                <w:rFonts w:hint="eastAsia" w:ascii="仿宋_GB2312" w:hAnsi="宋体" w:eastAsia="仿宋_GB2312" w:cs="宋体"/>
                <w:b w:val="0"/>
                <w:bCs/>
                <w:color w:val="000000"/>
                <w:kern w:val="0"/>
                <w:sz w:val="20"/>
                <w:szCs w:val="20"/>
                <w:highlight w:val="none"/>
              </w:rPr>
              <w:t>　</w:t>
            </w:r>
            <w:r>
              <w:rPr>
                <w:rFonts w:hint="eastAsia" w:ascii="仿宋_GB2312" w:hAnsi="宋体" w:eastAsia="仿宋_GB2312" w:cs="宋体"/>
                <w:b w:val="0"/>
                <w:bCs/>
                <w:color w:val="000000"/>
                <w:kern w:val="0"/>
                <w:sz w:val="20"/>
                <w:szCs w:val="20"/>
                <w:highlight w:val="none"/>
                <w:lang w:val="en-US" w:eastAsia="zh-CN"/>
              </w:rPr>
              <w:t>2.60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213</w:t>
            </w:r>
          </w:p>
        </w:tc>
        <w:tc>
          <w:tcPr>
            <w:tcW w:w="492"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农林水支出</w:t>
            </w:r>
          </w:p>
        </w:tc>
        <w:tc>
          <w:tcPr>
            <w:tcW w:w="1684"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162.59</w:t>
            </w:r>
          </w:p>
        </w:tc>
        <w:tc>
          <w:tcPr>
            <w:tcW w:w="1842"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162.59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213</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农业农村</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162.59</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162.59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213</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行政运行（农业）</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rPr>
              <w:t>162.59</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rPr>
              <w:t>162.59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8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合  计</w:t>
            </w:r>
          </w:p>
        </w:tc>
        <w:tc>
          <w:tcPr>
            <w:tcW w:w="1684"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165.59</w:t>
            </w:r>
          </w:p>
        </w:tc>
        <w:tc>
          <w:tcPr>
            <w:tcW w:w="1842"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165.59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bl>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noWrap/>
            <w:vAlign w:val="center"/>
          </w:tcPr>
          <w:p>
            <w:pPr>
              <w:widowControl/>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eastAsia="zh-CN"/>
              </w:rPr>
              <w:t>编制部门：克孜勒苏柯尔克孜自治州动物卫生监督所</w:t>
            </w:r>
          </w:p>
        </w:tc>
        <w:tc>
          <w:tcPr>
            <w:tcW w:w="995" w:type="dxa"/>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p>
        </w:tc>
        <w:tc>
          <w:tcPr>
            <w:tcW w:w="1682"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xml:space="preserve">          </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基本工资</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49.84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49.84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津贴补贴</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60.27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60.27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奖金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5.02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5.02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16.20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16.20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12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其他社会保障缴费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10.85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10.85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住房公积金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11.65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11.65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办公费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0.20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电费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邮电费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17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公务接待费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0.20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工会经费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0.70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0.70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福利费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1.26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1.26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公务用车运行维护费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0.40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0.40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退休费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3.23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3.23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生活补助</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0.44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0.44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奖励金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0.31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0.31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99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其他对个人和家庭的补助</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2.60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2.60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合  计</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165.19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160.43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4.76 </w:t>
            </w:r>
          </w:p>
        </w:tc>
      </w:tr>
    </w:tbl>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noWrap/>
            <w:vAlign w:val="center"/>
          </w:tcPr>
          <w:p>
            <w:pPr>
              <w:widowControl/>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eastAsia="zh-CN"/>
              </w:rPr>
              <w:t>编制部门：克孜勒苏柯尔克孜自治州动物卫生监督所</w:t>
            </w:r>
          </w:p>
        </w:tc>
        <w:tc>
          <w:tcPr>
            <w:tcW w:w="995"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p>
        </w:tc>
        <w:tc>
          <w:tcPr>
            <w:tcW w:w="1682"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xml:space="preserve">      </w:t>
            </w:r>
          </w:p>
        </w:tc>
        <w:tc>
          <w:tcPr>
            <w:tcW w:w="2426"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noWrap/>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 目 编 码</w:t>
            </w:r>
          </w:p>
        </w:tc>
        <w:tc>
          <w:tcPr>
            <w:tcW w:w="851" w:type="dxa"/>
            <w:vMerge w:val="restart"/>
            <w:noWrap/>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科目</w:t>
            </w:r>
          </w:p>
        </w:tc>
        <w:tc>
          <w:tcPr>
            <w:tcW w:w="1456" w:type="dxa"/>
            <w:vMerge w:val="restart"/>
            <w:noWrap/>
            <w:vAlign w:val="center"/>
          </w:tcPr>
          <w:p>
            <w:pPr>
              <w:jc w:val="center"/>
              <w:rPr>
                <w:rFonts w:ascii="Calibri" w:hAnsi="Calibri"/>
                <w:sz w:val="24"/>
                <w:highlight w:val="none"/>
              </w:rPr>
            </w:pPr>
            <w:r>
              <w:rPr>
                <w:rFonts w:hint="eastAsia" w:ascii="仿宋_GB2312" w:hAnsi="宋体" w:eastAsia="仿宋_GB2312"/>
                <w:b/>
                <w:kern w:val="0"/>
                <w:sz w:val="24"/>
                <w:highlight w:val="none"/>
              </w:rPr>
              <w:t>项目名称</w:t>
            </w:r>
          </w:p>
        </w:tc>
        <w:tc>
          <w:tcPr>
            <w:tcW w:w="75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工资福利支出</w:t>
            </w:r>
          </w:p>
        </w:tc>
        <w:tc>
          <w:tcPr>
            <w:tcW w:w="536"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w:t>
            </w:r>
          </w:p>
        </w:tc>
        <w:tc>
          <w:tcPr>
            <w:tcW w:w="578"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w:t>
            </w:r>
          </w:p>
        </w:tc>
        <w:tc>
          <w:tcPr>
            <w:tcW w:w="42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noWrap/>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类</w:t>
            </w:r>
          </w:p>
        </w:tc>
        <w:tc>
          <w:tcPr>
            <w:tcW w:w="397" w:type="dxa"/>
            <w:tcBorders>
              <w:bottom w:val="single" w:color="auto" w:sz="4" w:space="0"/>
            </w:tcBorders>
            <w:noWrap/>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款</w:t>
            </w:r>
          </w:p>
        </w:tc>
        <w:tc>
          <w:tcPr>
            <w:tcW w:w="397" w:type="dxa"/>
            <w:tcBorders>
              <w:bottom w:val="single" w:color="auto" w:sz="4" w:space="0"/>
            </w:tcBorders>
            <w:noWrap/>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highlight w:val="none"/>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p>
        </w:tc>
        <w:tc>
          <w:tcPr>
            <w:tcW w:w="397" w:type="dxa"/>
          </w:tcPr>
          <w:p>
            <w:pPr>
              <w:widowControl/>
              <w:jc w:val="left"/>
              <w:outlineLvl w:val="1"/>
              <w:rPr>
                <w:rFonts w:ascii="仿宋_GB2312" w:hAnsi="宋体" w:eastAsia="仿宋_GB2312"/>
                <w:kern w:val="0"/>
                <w:sz w:val="32"/>
                <w:szCs w:val="32"/>
                <w:highlight w:val="none"/>
              </w:rPr>
            </w:pPr>
          </w:p>
        </w:tc>
        <w:tc>
          <w:tcPr>
            <w:tcW w:w="397" w:type="dxa"/>
          </w:tcPr>
          <w:p>
            <w:pPr>
              <w:widowControl/>
              <w:jc w:val="left"/>
              <w:outlineLvl w:val="1"/>
              <w:rPr>
                <w:rFonts w:ascii="仿宋_GB2312" w:hAnsi="宋体" w:eastAsia="仿宋_GB2312"/>
                <w:kern w:val="0"/>
                <w:sz w:val="32"/>
                <w:szCs w:val="32"/>
                <w:highlight w:val="none"/>
              </w:rPr>
            </w:pPr>
          </w:p>
        </w:tc>
        <w:tc>
          <w:tcPr>
            <w:tcW w:w="851" w:type="dxa"/>
          </w:tcPr>
          <w:p>
            <w:pPr>
              <w:widowControl/>
              <w:jc w:val="left"/>
              <w:outlineLvl w:val="1"/>
              <w:rPr>
                <w:rFonts w:ascii="仿宋_GB2312" w:hAnsi="宋体" w:eastAsia="仿宋_GB2312"/>
                <w:kern w:val="0"/>
                <w:sz w:val="32"/>
                <w:szCs w:val="32"/>
                <w:highlight w:val="none"/>
              </w:rPr>
            </w:pPr>
          </w:p>
        </w:tc>
        <w:tc>
          <w:tcPr>
            <w:tcW w:w="1456" w:type="dxa"/>
          </w:tcPr>
          <w:p>
            <w:pPr>
              <w:widowControl/>
              <w:jc w:val="left"/>
              <w:outlineLvl w:val="1"/>
              <w:rPr>
                <w:rFonts w:ascii="仿宋_GB2312" w:hAnsi="宋体" w:eastAsia="仿宋_GB2312"/>
                <w:kern w:val="0"/>
                <w:sz w:val="32"/>
                <w:szCs w:val="32"/>
                <w:highlight w:val="none"/>
              </w:rPr>
            </w:pPr>
          </w:p>
        </w:tc>
        <w:tc>
          <w:tcPr>
            <w:tcW w:w="750" w:type="dxa"/>
          </w:tcPr>
          <w:p>
            <w:pPr>
              <w:widowControl/>
              <w:jc w:val="left"/>
              <w:outlineLvl w:val="1"/>
              <w:rPr>
                <w:rFonts w:ascii="仿宋_GB2312" w:hAnsi="宋体" w:eastAsia="仿宋_GB2312"/>
                <w:kern w:val="0"/>
                <w:sz w:val="32"/>
                <w:szCs w:val="32"/>
                <w:highlight w:val="none"/>
              </w:rPr>
            </w:pPr>
          </w:p>
        </w:tc>
        <w:tc>
          <w:tcPr>
            <w:tcW w:w="569" w:type="dxa"/>
            <w:gridSpan w:val="2"/>
          </w:tcPr>
          <w:p>
            <w:pPr>
              <w:widowControl/>
              <w:jc w:val="left"/>
              <w:outlineLvl w:val="1"/>
              <w:rPr>
                <w:rFonts w:ascii="仿宋_GB2312" w:hAnsi="宋体" w:eastAsia="仿宋_GB2312"/>
                <w:kern w:val="0"/>
                <w:sz w:val="32"/>
                <w:szCs w:val="32"/>
                <w:highlight w:val="none"/>
              </w:rPr>
            </w:pPr>
          </w:p>
        </w:tc>
        <w:tc>
          <w:tcPr>
            <w:tcW w:w="536" w:type="dxa"/>
          </w:tcPr>
          <w:p>
            <w:pPr>
              <w:widowControl/>
              <w:jc w:val="left"/>
              <w:outlineLvl w:val="1"/>
              <w:rPr>
                <w:rFonts w:ascii="仿宋_GB2312" w:hAnsi="宋体" w:eastAsia="仿宋_GB2312"/>
                <w:kern w:val="0"/>
                <w:sz w:val="32"/>
                <w:szCs w:val="32"/>
                <w:highlight w:val="none"/>
              </w:rPr>
            </w:pPr>
          </w:p>
        </w:tc>
        <w:tc>
          <w:tcPr>
            <w:tcW w:w="652" w:type="dxa"/>
          </w:tcPr>
          <w:p>
            <w:pPr>
              <w:widowControl/>
              <w:jc w:val="left"/>
              <w:outlineLvl w:val="1"/>
              <w:rPr>
                <w:rFonts w:ascii="仿宋_GB2312" w:hAnsi="宋体" w:eastAsia="仿宋_GB2312"/>
                <w:kern w:val="0"/>
                <w:sz w:val="32"/>
                <w:szCs w:val="32"/>
                <w:highlight w:val="none"/>
              </w:rPr>
            </w:pPr>
          </w:p>
        </w:tc>
        <w:tc>
          <w:tcPr>
            <w:tcW w:w="652" w:type="dxa"/>
          </w:tcPr>
          <w:p>
            <w:pPr>
              <w:widowControl/>
              <w:jc w:val="left"/>
              <w:outlineLvl w:val="1"/>
              <w:rPr>
                <w:rFonts w:ascii="仿宋_GB2312" w:hAnsi="宋体" w:eastAsia="仿宋_GB2312"/>
                <w:kern w:val="0"/>
                <w:sz w:val="32"/>
                <w:szCs w:val="32"/>
                <w:highlight w:val="none"/>
              </w:rPr>
            </w:pPr>
          </w:p>
        </w:tc>
        <w:tc>
          <w:tcPr>
            <w:tcW w:w="578" w:type="dxa"/>
            <w:gridSpan w:val="2"/>
          </w:tcPr>
          <w:p>
            <w:pPr>
              <w:widowControl/>
              <w:jc w:val="left"/>
              <w:outlineLvl w:val="1"/>
              <w:rPr>
                <w:rFonts w:ascii="仿宋_GB2312" w:hAnsi="宋体" w:eastAsia="仿宋_GB2312"/>
                <w:kern w:val="0"/>
                <w:sz w:val="32"/>
                <w:szCs w:val="32"/>
                <w:highlight w:val="none"/>
              </w:rPr>
            </w:pPr>
          </w:p>
        </w:tc>
        <w:tc>
          <w:tcPr>
            <w:tcW w:w="419" w:type="dxa"/>
          </w:tcPr>
          <w:p>
            <w:pPr>
              <w:widowControl/>
              <w:jc w:val="left"/>
              <w:outlineLvl w:val="1"/>
              <w:rPr>
                <w:rFonts w:ascii="仿宋_GB2312" w:hAnsi="宋体" w:eastAsia="仿宋_GB2312"/>
                <w:kern w:val="0"/>
                <w:sz w:val="32"/>
                <w:szCs w:val="32"/>
                <w:highlight w:val="none"/>
              </w:rPr>
            </w:pPr>
          </w:p>
        </w:tc>
        <w:tc>
          <w:tcPr>
            <w:tcW w:w="578" w:type="dxa"/>
          </w:tcPr>
          <w:p>
            <w:pPr>
              <w:widowControl/>
              <w:jc w:val="left"/>
              <w:outlineLvl w:val="1"/>
              <w:rPr>
                <w:rFonts w:ascii="仿宋_GB2312" w:hAnsi="宋体" w:eastAsia="仿宋_GB2312"/>
                <w:kern w:val="0"/>
                <w:sz w:val="32"/>
                <w:szCs w:val="32"/>
                <w:highlight w:val="none"/>
              </w:rPr>
            </w:pPr>
          </w:p>
        </w:tc>
        <w:tc>
          <w:tcPr>
            <w:tcW w:w="420" w:type="dxa"/>
          </w:tcPr>
          <w:p>
            <w:pPr>
              <w:widowControl/>
              <w:jc w:val="left"/>
              <w:outlineLvl w:val="1"/>
              <w:rPr>
                <w:rFonts w:ascii="仿宋_GB2312" w:hAnsi="宋体" w:eastAsia="仿宋_GB2312"/>
                <w:kern w:val="0"/>
                <w:sz w:val="32"/>
                <w:szCs w:val="32"/>
                <w:highlight w:val="none"/>
              </w:rPr>
            </w:pPr>
          </w:p>
        </w:tc>
        <w:tc>
          <w:tcPr>
            <w:tcW w:w="420" w:type="dxa"/>
          </w:tcPr>
          <w:p>
            <w:pPr>
              <w:widowControl/>
              <w:jc w:val="left"/>
              <w:outlineLvl w:val="1"/>
              <w:rPr>
                <w:rFonts w:ascii="仿宋_GB2312" w:hAnsi="宋体" w:eastAsia="仿宋_GB2312"/>
                <w:kern w:val="0"/>
                <w:sz w:val="32"/>
                <w:szCs w:val="32"/>
                <w:highlight w:val="none"/>
              </w:rPr>
            </w:pPr>
          </w:p>
        </w:tc>
        <w:tc>
          <w:tcPr>
            <w:tcW w:w="468" w:type="dxa"/>
            <w:gridSpan w:val="2"/>
          </w:tcPr>
          <w:p>
            <w:pPr>
              <w:widowControl/>
              <w:jc w:val="left"/>
              <w:outlineLvl w:val="1"/>
              <w:rPr>
                <w:rFonts w:ascii="仿宋_GB2312" w:hAnsi="宋体"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vAlign w:val="center"/>
          </w:tcPr>
          <w:p>
            <w:pPr>
              <w:widowControl/>
              <w:jc w:val="center"/>
              <w:outlineLvl w:val="1"/>
              <w:rPr>
                <w:rFonts w:ascii="仿宋_GB2312" w:hAnsi="宋体" w:eastAsia="仿宋_GB2312"/>
                <w:kern w:val="0"/>
                <w:sz w:val="32"/>
                <w:szCs w:val="32"/>
                <w:highlight w:val="none"/>
              </w:rPr>
            </w:pPr>
            <w:r>
              <w:rPr>
                <w:rFonts w:hint="eastAsia" w:ascii="仿宋_GB2312" w:hAnsi="宋体" w:eastAsia="仿宋_GB2312"/>
                <w:b/>
                <w:bCs/>
                <w:kern w:val="0"/>
                <w:szCs w:val="21"/>
                <w:highlight w:val="none"/>
              </w:rPr>
              <w:t>合 计</w:t>
            </w:r>
          </w:p>
        </w:tc>
        <w:tc>
          <w:tcPr>
            <w:tcW w:w="750" w:type="dxa"/>
            <w:vAlign w:val="center"/>
          </w:tcPr>
          <w:p>
            <w:pPr>
              <w:widowControl/>
              <w:jc w:val="center"/>
              <w:outlineLvl w:val="1"/>
              <w:rPr>
                <w:rFonts w:ascii="仿宋_GB2312" w:hAnsi="宋体" w:eastAsia="仿宋_GB2312"/>
                <w:kern w:val="0"/>
                <w:szCs w:val="21"/>
                <w:highlight w:val="none"/>
              </w:rPr>
            </w:pP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bl>
    <w:p>
      <w:pPr>
        <w:widowControl/>
        <w:outlineLvl w:val="1"/>
        <w:rPr>
          <w:rFonts w:hint="default" w:ascii="仿宋_GB2312" w:hAnsi="宋体" w:eastAsia="仿宋_GB2312"/>
          <w:b/>
          <w:kern w:val="0"/>
          <w:sz w:val="28"/>
          <w:szCs w:val="32"/>
          <w:highlight w:val="none"/>
          <w:lang w:val="en-US"/>
        </w:rPr>
      </w:pPr>
      <w:r>
        <w:rPr>
          <w:rFonts w:hint="eastAsia" w:ascii="仿宋_GB2312" w:hAnsi="宋体" w:eastAsia="仿宋_GB2312"/>
          <w:b/>
          <w:kern w:val="0"/>
          <w:sz w:val="28"/>
          <w:szCs w:val="32"/>
          <w:highlight w:val="none"/>
        </w:rPr>
        <w:t>备注：</w:t>
      </w:r>
      <w:r>
        <w:rPr>
          <w:rFonts w:hint="eastAsia" w:ascii="仿宋_GB2312" w:hAnsi="宋体" w:eastAsia="仿宋_GB2312"/>
          <w:b/>
          <w:kern w:val="0"/>
          <w:sz w:val="28"/>
          <w:szCs w:val="32"/>
          <w:highlight w:val="none"/>
          <w:lang w:eastAsia="zh-CN"/>
        </w:rPr>
        <w:t>克孜勒苏柯尔克孜自治州动物卫生监督所部门（单位）</w:t>
      </w:r>
      <w:r>
        <w:rPr>
          <w:rFonts w:hint="eastAsia" w:ascii="仿宋_GB2312" w:hAnsi="宋体" w:eastAsia="仿宋_GB2312"/>
          <w:b/>
          <w:kern w:val="0"/>
          <w:sz w:val="28"/>
          <w:szCs w:val="32"/>
          <w:highlight w:val="none"/>
          <w:lang w:val="en-US" w:eastAsia="zh-CN"/>
        </w:rPr>
        <w:t>2021年预算未安排项目，因此此表为空</w:t>
      </w: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表八：</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一般公共预算“三公”经费支出情况表</w:t>
      </w:r>
    </w:p>
    <w:p>
      <w:pPr>
        <w:widowControl/>
        <w:jc w:val="center"/>
        <w:outlineLvl w:val="1"/>
        <w:rPr>
          <w:rFonts w:ascii="仿宋_GB2312" w:hAnsi="宋体" w:eastAsia="仿宋_GB2312"/>
          <w:b/>
          <w:kern w:val="0"/>
          <w:sz w:val="32"/>
          <w:szCs w:val="32"/>
          <w:highlight w:val="none"/>
        </w:rPr>
      </w:pP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lang w:eastAsia="zh-CN"/>
        </w:rPr>
        <w:t>编制部门：克孜勒苏柯尔克孜自治州动物卫生监督所</w:t>
      </w:r>
      <w:r>
        <w:rPr>
          <w:rFonts w:hint="eastAsia" w:ascii="仿宋_GB2312" w:hAnsi="宋体" w:eastAsia="仿宋_GB2312"/>
          <w:kern w:val="0"/>
          <w:sz w:val="24"/>
          <w:highlight w:val="none"/>
        </w:rPr>
        <w:t xml:space="preserve">                  单位：万元</w:t>
      </w:r>
    </w:p>
    <w:tbl>
      <w:tblPr>
        <w:tblStyle w:val="7"/>
        <w:tblW w:w="0" w:type="auto"/>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4"/>
                <w:highlight w:val="none"/>
              </w:rPr>
            </w:pPr>
            <w:r>
              <w:rPr>
                <w:rFonts w:hint="eastAsia" w:ascii="宋体" w:hAnsi="宋体" w:eastAsia="宋体" w:cs="宋体"/>
                <w:i w:val="0"/>
                <w:color w:val="000000"/>
                <w:kern w:val="0"/>
                <w:sz w:val="18"/>
                <w:szCs w:val="18"/>
                <w:highlight w:val="none"/>
                <w:u w:val="none"/>
                <w:lang w:val="en-US" w:eastAsia="zh-CN" w:bidi="ar"/>
              </w:rPr>
              <w:t xml:space="preserve">0.60 </w:t>
            </w: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highlight w:val="none"/>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highlight w:val="none"/>
              </w:rPr>
            </w:pPr>
            <w:r>
              <w:rPr>
                <w:rFonts w:hint="eastAsia" w:ascii="宋体" w:hAnsi="宋体" w:eastAsia="宋体" w:cs="宋体"/>
                <w:i w:val="0"/>
                <w:color w:val="000000"/>
                <w:kern w:val="0"/>
                <w:sz w:val="18"/>
                <w:szCs w:val="18"/>
                <w:highlight w:val="none"/>
                <w:u w:val="none"/>
                <w:lang w:val="en-US" w:eastAsia="zh-CN" w:bidi="ar"/>
              </w:rPr>
              <w:t xml:space="preserve">0.40 </w:t>
            </w: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highlight w:val="none"/>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highlight w:val="none"/>
              </w:rPr>
            </w:pPr>
            <w:r>
              <w:rPr>
                <w:rFonts w:hint="eastAsia" w:ascii="宋体" w:hAnsi="宋体" w:eastAsia="宋体" w:cs="宋体"/>
                <w:i w:val="0"/>
                <w:color w:val="000000"/>
                <w:kern w:val="0"/>
                <w:sz w:val="18"/>
                <w:szCs w:val="18"/>
                <w:highlight w:val="none"/>
                <w:u w:val="none"/>
                <w:lang w:val="en-US" w:eastAsia="zh-CN" w:bidi="ar"/>
              </w:rPr>
              <w:t xml:space="preserve">0.40 </w:t>
            </w:r>
          </w:p>
        </w:tc>
        <w:tc>
          <w:tcPr>
            <w:tcW w:w="171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highlight w:val="none"/>
              </w:rPr>
            </w:pPr>
            <w:r>
              <w:rPr>
                <w:rFonts w:hint="eastAsia" w:ascii="宋体" w:hAnsi="宋体" w:eastAsia="宋体" w:cs="宋体"/>
                <w:i w:val="0"/>
                <w:color w:val="000000"/>
                <w:kern w:val="0"/>
                <w:sz w:val="18"/>
                <w:szCs w:val="18"/>
                <w:highlight w:val="none"/>
                <w:u w:val="none"/>
                <w:lang w:val="en-US" w:eastAsia="zh-CN" w:bidi="ar"/>
              </w:rPr>
              <w:t xml:space="preserve">0.20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4"/>
                <w:szCs w:val="24"/>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0.60 </w:t>
            </w:r>
          </w:p>
        </w:tc>
        <w:tc>
          <w:tcPr>
            <w:tcW w:w="1417"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4"/>
                <w:szCs w:val="24"/>
                <w:highlight w:val="none"/>
                <w:lang w:val="en-US" w:eastAsia="zh-CN" w:bidi="ar-SA"/>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0.40 </w:t>
            </w:r>
          </w:p>
        </w:tc>
        <w:tc>
          <w:tcPr>
            <w:tcW w:w="141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4"/>
                <w:szCs w:val="24"/>
                <w:highlight w:val="none"/>
                <w:lang w:val="en-US" w:eastAsia="zh-CN" w:bidi="ar-SA"/>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0.40 </w:t>
            </w:r>
          </w:p>
        </w:tc>
        <w:tc>
          <w:tcPr>
            <w:tcW w:w="171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0.20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4"/>
                <w:highlight w:val="none"/>
              </w:rPr>
            </w:pP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highlight w:val="none"/>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highlight w:val="none"/>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highlight w:val="none"/>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highlight w:val="none"/>
              </w:rPr>
            </w:pPr>
          </w:p>
        </w:tc>
        <w:tc>
          <w:tcPr>
            <w:tcW w:w="171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highlight w:val="none"/>
              </w:rPr>
            </w:pPr>
          </w:p>
        </w:tc>
      </w:tr>
    </w:tbl>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hint="eastAsia" w:ascii="仿宋_GB2312" w:hAnsi="宋体" w:eastAsia="仿宋_GB2312"/>
          <w:kern w:val="0"/>
          <w:sz w:val="32"/>
          <w:szCs w:val="32"/>
          <w:highlight w:val="none"/>
          <w:lang w:val="en-US" w:eastAsia="zh-CN"/>
        </w:rPr>
      </w:pPr>
    </w:p>
    <w:p>
      <w:pPr>
        <w:widowControl/>
        <w:outlineLvl w:val="1"/>
        <w:rPr>
          <w:rFonts w:hint="eastAsia" w:ascii="仿宋_GB2312" w:hAnsi="宋体" w:eastAsia="仿宋_GB2312"/>
          <w:kern w:val="0"/>
          <w:sz w:val="32"/>
          <w:szCs w:val="32"/>
          <w:highlight w:val="none"/>
          <w:lang w:val="en-US" w:eastAsia="zh-CN"/>
        </w:rPr>
      </w:pPr>
    </w:p>
    <w:p>
      <w:pPr>
        <w:widowControl/>
        <w:spacing w:line="280" w:lineRule="exact"/>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表九：</w:t>
      </w:r>
    </w:p>
    <w:p>
      <w:pPr>
        <w:widowControl/>
        <w:spacing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政府性基金预算支出情况表</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1"/>
        <w:rPr>
          <w:rFonts w:ascii="仿宋_GB2312" w:hAnsi="宋体" w:eastAsia="仿宋_GB2312"/>
          <w:kern w:val="0"/>
          <w:sz w:val="24"/>
          <w:highlight w:val="none"/>
        </w:rPr>
      </w:pPr>
      <w:r>
        <w:rPr>
          <w:rFonts w:hint="eastAsia" w:ascii="仿宋_GB2312" w:hAnsi="宋体" w:eastAsia="仿宋_GB2312"/>
          <w:kern w:val="0"/>
          <w:sz w:val="24"/>
          <w:highlight w:val="none"/>
          <w:lang w:eastAsia="zh-CN"/>
        </w:rPr>
        <w:t>编制部门：克孜勒苏柯尔克孜自治州动物卫生监督所</w:t>
      </w:r>
      <w:r>
        <w:rPr>
          <w:rFonts w:hint="eastAsia" w:ascii="仿宋_GB2312" w:hAnsi="宋体" w:eastAsia="仿宋_GB2312"/>
          <w:kern w:val="0"/>
          <w:sz w:val="24"/>
          <w:highlight w:val="none"/>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highlight w:val="none"/>
              </w:rPr>
            </w:pPr>
            <w:r>
              <w:rPr>
                <w:rFonts w:hint="eastAsia" w:ascii="仿宋_GB2312" w:hAnsi="宋体" w:eastAsia="仿宋_GB2312" w:cs="宋体"/>
                <w:b/>
                <w:bCs/>
                <w:color w:val="000000"/>
                <w:kern w:val="0"/>
                <w:sz w:val="24"/>
                <w:highlight w:val="none"/>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bl>
    <w:p>
      <w:pPr>
        <w:widowControl/>
        <w:spacing w:line="280" w:lineRule="exact"/>
        <w:outlineLvl w:val="1"/>
        <w:rPr>
          <w:rFonts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备注：克孜勒苏柯尔克孜自治州物卫生监督所2021年未安排正负形基金预算支出，此表空白。</w:t>
      </w:r>
    </w:p>
    <w:p>
      <w:pPr>
        <w:widowControl/>
        <w:spacing w:line="280" w:lineRule="exact"/>
        <w:jc w:val="left"/>
        <w:outlineLvl w:val="1"/>
        <w:rPr>
          <w:rFonts w:ascii="仿宋_GB2312" w:hAnsi="宋体" w:eastAsia="仿宋_GB2312"/>
          <w:kern w:val="0"/>
          <w:sz w:val="32"/>
          <w:szCs w:val="32"/>
          <w:highlight w:val="none"/>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both"/>
        <w:rPr>
          <w:rFonts w:ascii="黑体" w:hAnsi="黑体" w:eastAsia="黑体"/>
          <w:kern w:val="0"/>
          <w:sz w:val="32"/>
          <w:szCs w:val="32"/>
          <w:highlight w:val="none"/>
        </w:rPr>
      </w:pPr>
      <w:r>
        <w:rPr>
          <w:rFonts w:hint="eastAsia" w:ascii="黑体" w:hAnsi="黑体" w:eastAsia="黑体"/>
          <w:kern w:val="0"/>
          <w:sz w:val="32"/>
          <w:szCs w:val="32"/>
          <w:highlight w:val="none"/>
        </w:rPr>
        <w:t xml:space="preserve">三部分  </w:t>
      </w:r>
      <w:r>
        <w:rPr>
          <w:rFonts w:hint="eastAsia" w:ascii="黑体" w:hAnsi="黑体" w:eastAsia="黑体"/>
          <w:kern w:val="0"/>
          <w:sz w:val="32"/>
          <w:szCs w:val="32"/>
          <w:highlight w:val="none"/>
          <w:lang w:eastAsia="zh-CN"/>
        </w:rPr>
        <w:t>2021年克孜勒苏柯尔克孜自治州动物卫生监督所部门（单位）</w:t>
      </w:r>
      <w:r>
        <w:rPr>
          <w:rFonts w:hint="eastAsia" w:ascii="黑体" w:hAnsi="黑体" w:eastAsia="黑体"/>
          <w:kern w:val="0"/>
          <w:sz w:val="32"/>
          <w:szCs w:val="32"/>
          <w:highlight w:val="none"/>
        </w:rPr>
        <w:t>预算情况说明</w:t>
      </w:r>
    </w:p>
    <w:p>
      <w:pPr>
        <w:spacing w:line="560" w:lineRule="exact"/>
        <w:ind w:firstLine="640" w:firstLineChars="200"/>
        <w:rPr>
          <w:rFonts w:ascii="黑体" w:hAnsi="宋体" w:eastAsia="黑体" w:cs="宋体"/>
          <w:kern w:val="0"/>
          <w:sz w:val="32"/>
          <w:szCs w:val="32"/>
          <w:highlight w:val="none"/>
        </w:rPr>
      </w:pPr>
      <w:r>
        <w:rPr>
          <w:rFonts w:hint="eastAsia" w:ascii="黑体" w:hAnsi="黑体" w:eastAsia="黑体" w:cs="宋体"/>
          <w:bCs/>
          <w:kern w:val="0"/>
          <w:sz w:val="32"/>
          <w:szCs w:val="32"/>
          <w:highlight w:val="none"/>
        </w:rPr>
        <w:t>一、</w:t>
      </w:r>
      <w:r>
        <w:rPr>
          <w:rFonts w:hint="eastAsia" w:ascii="黑体" w:hAnsi="宋体" w:eastAsia="黑体" w:cs="宋体"/>
          <w:kern w:val="0"/>
          <w:sz w:val="32"/>
          <w:szCs w:val="32"/>
          <w:highlight w:val="none"/>
        </w:rPr>
        <w:t>关于</w:t>
      </w:r>
      <w:r>
        <w:rPr>
          <w:rFonts w:hint="eastAsia" w:ascii="黑体" w:hAnsi="宋体" w:eastAsia="黑体" w:cs="宋体"/>
          <w:kern w:val="0"/>
          <w:sz w:val="32"/>
          <w:szCs w:val="32"/>
          <w:highlight w:val="none"/>
          <w:lang w:eastAsia="zh-CN"/>
        </w:rPr>
        <w:t>克孜勒苏柯尔克孜自治州动物卫生监督所部门（单位）2021年</w:t>
      </w:r>
      <w:r>
        <w:rPr>
          <w:rFonts w:hint="eastAsia" w:ascii="黑体" w:hAnsi="宋体" w:eastAsia="黑体" w:cs="宋体"/>
          <w:kern w:val="0"/>
          <w:sz w:val="32"/>
          <w:szCs w:val="32"/>
          <w:highlight w:val="none"/>
        </w:rPr>
        <w:t>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按照全口径预算的原则，</w:t>
      </w:r>
      <w:r>
        <w:rPr>
          <w:rFonts w:hint="eastAsia" w:ascii="仿宋_GB2312" w:hAnsi="宋体" w:eastAsia="仿宋_GB2312" w:cs="宋体"/>
          <w:kern w:val="0"/>
          <w:sz w:val="32"/>
          <w:szCs w:val="32"/>
          <w:highlight w:val="none"/>
          <w:lang w:eastAsia="zh-CN"/>
        </w:rPr>
        <w:t>克孜勒苏柯尔克孜自治州动物卫生监督所部门（单位）</w:t>
      </w:r>
      <w:r>
        <w:rPr>
          <w:rFonts w:hint="eastAsia" w:ascii="仿宋_GB2312" w:hAnsi="宋体" w:eastAsia="仿宋_GB2312" w:cs="宋体"/>
          <w:kern w:val="0"/>
          <w:sz w:val="32"/>
          <w:szCs w:val="32"/>
          <w:highlight w:val="none"/>
        </w:rPr>
        <w:t>2021年所有收入和支出均纳入</w:t>
      </w:r>
      <w:r>
        <w:rPr>
          <w:rFonts w:hint="eastAsia" w:ascii="仿宋_GB2312" w:hAnsi="宋体" w:eastAsia="仿宋_GB2312" w:cs="宋体"/>
          <w:kern w:val="0"/>
          <w:sz w:val="32"/>
          <w:szCs w:val="32"/>
          <w:highlight w:val="none"/>
          <w:lang w:eastAsia="zh-CN"/>
        </w:rPr>
        <w:t>克孜勒苏柯尔克孜自治州动物卫生监督所部门（单位）</w:t>
      </w:r>
      <w:r>
        <w:rPr>
          <w:rFonts w:hint="eastAsia" w:ascii="仿宋_GB2312" w:hAnsi="宋体" w:eastAsia="仿宋_GB2312" w:cs="宋体"/>
          <w:kern w:val="0"/>
          <w:sz w:val="32"/>
          <w:szCs w:val="32"/>
          <w:highlight w:val="none"/>
        </w:rPr>
        <w:t>预算管理。收支总预算</w:t>
      </w:r>
      <w:r>
        <w:rPr>
          <w:rFonts w:hint="eastAsia" w:ascii="仿宋_GB2312" w:hAnsi="宋体" w:eastAsia="仿宋_GB2312" w:cs="宋体"/>
          <w:kern w:val="0"/>
          <w:sz w:val="32"/>
          <w:szCs w:val="32"/>
          <w:highlight w:val="none"/>
          <w:lang w:val="en-US" w:eastAsia="zh-CN"/>
        </w:rPr>
        <w:t>165.19</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收入预算包括：一般公共预算</w:t>
      </w:r>
      <w:r>
        <w:rPr>
          <w:rFonts w:hint="eastAsia" w:ascii="仿宋_GB2312" w:hAnsi="宋体" w:eastAsia="仿宋_GB2312" w:cs="宋体"/>
          <w:kern w:val="0"/>
          <w:sz w:val="32"/>
          <w:szCs w:val="32"/>
          <w:highlight w:val="none"/>
          <w:lang w:val="en-US" w:eastAsia="zh-CN"/>
        </w:rPr>
        <w:t>165.19</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支出预算包括：农林水支出168.59万元、教育支出2.6万元。</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二、关于</w:t>
      </w:r>
      <w:r>
        <w:rPr>
          <w:rFonts w:hint="eastAsia" w:ascii="黑体" w:hAnsi="宋体" w:eastAsia="黑体" w:cs="宋体"/>
          <w:kern w:val="0"/>
          <w:sz w:val="32"/>
          <w:szCs w:val="32"/>
          <w:highlight w:val="none"/>
          <w:lang w:eastAsia="zh-CN"/>
        </w:rPr>
        <w:t>克孜勒苏柯尔克孜自治州动物卫生监督所部门（单位）2021年</w:t>
      </w:r>
      <w:r>
        <w:rPr>
          <w:rFonts w:hint="eastAsia" w:ascii="黑体" w:hAnsi="宋体" w:eastAsia="黑体" w:cs="宋体"/>
          <w:kern w:val="0"/>
          <w:sz w:val="32"/>
          <w:szCs w:val="32"/>
          <w:highlight w:val="none"/>
        </w:rPr>
        <w:t>收入预算情况说明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克孜勒苏柯尔克孜自治州动物卫生监督所部门（单位）</w:t>
      </w:r>
      <w:r>
        <w:rPr>
          <w:rFonts w:hint="eastAsia" w:ascii="仿宋_GB2312" w:hAnsi="宋体" w:eastAsia="仿宋_GB2312" w:cs="宋体"/>
          <w:kern w:val="0"/>
          <w:sz w:val="32"/>
          <w:szCs w:val="32"/>
          <w:highlight w:val="none"/>
        </w:rPr>
        <w:t>收入预算171.19万元，其中：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一般公共预算165.19万元，占96.49%，比上年</w:t>
      </w:r>
      <w:r>
        <w:rPr>
          <w:rFonts w:hint="eastAsia" w:ascii="仿宋_GB2312" w:hAnsi="宋体" w:eastAsia="仿宋_GB2312" w:cs="宋体"/>
          <w:kern w:val="0"/>
          <w:sz w:val="32"/>
          <w:szCs w:val="32"/>
          <w:highlight w:val="none"/>
          <w:lang w:eastAsia="zh-CN"/>
        </w:rPr>
        <w:t>预算数</w:t>
      </w:r>
      <w:r>
        <w:rPr>
          <w:rFonts w:hint="eastAsia" w:ascii="仿宋_GB2312" w:hAnsi="宋体" w:eastAsia="仿宋_GB2312" w:cs="宋体"/>
          <w:kern w:val="0"/>
          <w:sz w:val="32"/>
          <w:szCs w:val="32"/>
          <w:highlight w:val="none"/>
        </w:rPr>
        <w:t xml:space="preserve">减少42.06万元，主要原因是2020年有群众工作费，也有上级补助收入；    </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政府性基金预算未安排。</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三、关于</w:t>
      </w:r>
      <w:r>
        <w:rPr>
          <w:rFonts w:hint="eastAsia" w:ascii="黑体" w:hAnsi="宋体" w:eastAsia="黑体" w:cs="宋体"/>
          <w:kern w:val="0"/>
          <w:sz w:val="32"/>
          <w:szCs w:val="32"/>
          <w:highlight w:val="none"/>
          <w:lang w:eastAsia="zh-CN"/>
        </w:rPr>
        <w:t>克孜勒苏柯尔克孜自治州动物卫生监督所部门（单位）2021年</w:t>
      </w:r>
      <w:r>
        <w:rPr>
          <w:rFonts w:hint="eastAsia" w:ascii="黑体" w:hAnsi="宋体" w:eastAsia="黑体" w:cs="宋体"/>
          <w:kern w:val="0"/>
          <w:sz w:val="32"/>
          <w:szCs w:val="32"/>
          <w:highlight w:val="none"/>
        </w:rPr>
        <w:t>支出预算情况说明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克孜勒苏柯尔克孜自治州动物卫生监督所部门（单位）</w:t>
      </w:r>
      <w:r>
        <w:rPr>
          <w:rFonts w:hint="eastAsia" w:ascii="仿宋_GB2312" w:hAnsi="宋体" w:eastAsia="仿宋_GB2312" w:cs="宋体"/>
          <w:kern w:val="0"/>
          <w:sz w:val="32"/>
          <w:szCs w:val="32"/>
          <w:highlight w:val="none"/>
        </w:rPr>
        <w:t>2021年支出预算</w:t>
      </w:r>
      <w:r>
        <w:rPr>
          <w:rFonts w:hint="eastAsia" w:ascii="仿宋_GB2312" w:hAnsi="宋体" w:eastAsia="仿宋_GB2312" w:cs="宋体"/>
          <w:kern w:val="0"/>
          <w:sz w:val="32"/>
          <w:szCs w:val="32"/>
          <w:highlight w:val="none"/>
          <w:lang w:val="en-US" w:eastAsia="zh-CN"/>
        </w:rPr>
        <w:t>165.19</w:t>
      </w:r>
      <w:r>
        <w:rPr>
          <w:rFonts w:hint="eastAsia" w:ascii="仿宋_GB2312" w:hAnsi="宋体" w:eastAsia="仿宋_GB2312" w:cs="宋体"/>
          <w:kern w:val="0"/>
          <w:sz w:val="32"/>
          <w:szCs w:val="32"/>
          <w:highlight w:val="none"/>
        </w:rPr>
        <w:t>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基本支出165.19万元，占</w:t>
      </w:r>
      <w:r>
        <w:rPr>
          <w:rFonts w:hint="eastAsia" w:ascii="仿宋_GB2312" w:hAnsi="宋体" w:eastAsia="仿宋_GB2312" w:cs="宋体"/>
          <w:kern w:val="0"/>
          <w:sz w:val="32"/>
          <w:szCs w:val="32"/>
          <w:highlight w:val="none"/>
          <w:lang w:val="en-US" w:eastAsia="zh-CN"/>
        </w:rPr>
        <w:t>100</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 xml:space="preserve">减少42.06万元，主要原因是2020年有群众工作费，也有上级补助收入；    </w:t>
      </w:r>
    </w:p>
    <w:p>
      <w:pPr>
        <w:spacing w:line="560" w:lineRule="exact"/>
        <w:ind w:firstLine="640" w:firstLineChars="200"/>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四、关于</w:t>
      </w:r>
      <w:r>
        <w:rPr>
          <w:rFonts w:hint="eastAsia" w:ascii="黑体" w:hAnsi="黑体" w:eastAsia="黑体" w:cs="宋体"/>
          <w:bCs/>
          <w:kern w:val="0"/>
          <w:sz w:val="32"/>
          <w:szCs w:val="32"/>
          <w:highlight w:val="none"/>
          <w:lang w:eastAsia="zh-CN"/>
        </w:rPr>
        <w:t>克孜勒苏柯尔克孜自治州动物卫生监督所部门（单位）2021年</w:t>
      </w:r>
      <w:r>
        <w:rPr>
          <w:rFonts w:hint="eastAsia" w:ascii="黑体" w:hAnsi="黑体" w:eastAsia="黑体" w:cs="宋体"/>
          <w:bCs/>
          <w:kern w:val="0"/>
          <w:sz w:val="32"/>
          <w:szCs w:val="32"/>
          <w:highlight w:val="none"/>
        </w:rPr>
        <w:t>财政拨款收支预算情况的总体说明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2021年财政拨款收支总预算165.19 万元。</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仿宋_GB2312" w:eastAsia="仿宋_GB2312" w:cs="宋体"/>
          <w:color w:val="000000"/>
          <w:kern w:val="0"/>
          <w:sz w:val="32"/>
          <w:szCs w:val="32"/>
          <w:highlight w:val="none"/>
        </w:rPr>
        <w:t>（农林水</w:t>
      </w:r>
      <w:r>
        <w:rPr>
          <w:rFonts w:hint="eastAsia" w:ascii="仿宋_GB2312" w:hAnsi="仿宋_GB2312" w:eastAsia="仿宋_GB2312" w:cs="宋体"/>
          <w:color w:val="000000"/>
          <w:kern w:val="0"/>
          <w:sz w:val="32"/>
          <w:szCs w:val="32"/>
          <w:highlight w:val="none"/>
          <w:lang w:eastAsia="zh-CN"/>
        </w:rPr>
        <w:t>支出</w:t>
      </w:r>
      <w:r>
        <w:rPr>
          <w:rFonts w:hint="eastAsia" w:ascii="仿宋_GB2312" w:hAnsi="仿宋_GB2312" w:eastAsia="仿宋_GB2312" w:cs="宋体"/>
          <w:color w:val="000000"/>
          <w:kern w:val="0"/>
          <w:sz w:val="32"/>
          <w:szCs w:val="32"/>
          <w:highlight w:val="none"/>
        </w:rPr>
        <w:t>）</w:t>
      </w:r>
      <w:r>
        <w:rPr>
          <w:rFonts w:hint="eastAsia" w:ascii="仿宋_GB2312" w:hAnsi="宋体" w:eastAsia="仿宋_GB2312" w:cs="宋体"/>
          <w:spacing w:val="-6"/>
          <w:kern w:val="0"/>
          <w:sz w:val="32"/>
          <w:szCs w:val="32"/>
          <w:highlight w:val="none"/>
          <w:lang w:val="en-US" w:eastAsia="zh-CN"/>
        </w:rPr>
        <w:t>165.19</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pacing w:line="550" w:lineRule="exact"/>
        <w:ind w:firstLine="462" w:firstLineChars="150"/>
        <w:rPr>
          <w:rFonts w:hint="eastAsia" w:ascii="仿宋_GB2312" w:hAnsi="宋体" w:eastAsia="仿宋_GB2312" w:cs="宋体"/>
          <w:b/>
          <w:spacing w:val="-6"/>
          <w:kern w:val="0"/>
          <w:sz w:val="32"/>
          <w:szCs w:val="32"/>
          <w:highlight w:val="none"/>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w:t>
      </w:r>
      <w:r>
        <w:rPr>
          <w:rFonts w:hint="eastAsia" w:ascii="仿宋_GB2312" w:hAnsi="宋体" w:eastAsia="仿宋_GB2312" w:cs="宋体"/>
          <w:spacing w:val="-6"/>
          <w:kern w:val="0"/>
          <w:sz w:val="32"/>
          <w:szCs w:val="32"/>
          <w:highlight w:val="none"/>
          <w:lang w:eastAsia="zh-CN"/>
        </w:rPr>
        <w:t>服务</w:t>
      </w:r>
      <w:r>
        <w:rPr>
          <w:rFonts w:ascii="仿宋_GB2312" w:hAnsi="宋体" w:eastAsia="仿宋_GB2312" w:cs="宋体"/>
          <w:spacing w:val="-6"/>
          <w:kern w:val="0"/>
          <w:sz w:val="32"/>
          <w:szCs w:val="32"/>
          <w:highlight w:val="none"/>
        </w:rPr>
        <w:t>支出包括：一般公共服务</w:t>
      </w:r>
      <w:r>
        <w:rPr>
          <w:rFonts w:hint="eastAsia" w:ascii="仿宋_GB2312" w:hAnsi="仿宋_GB2312" w:eastAsia="仿宋_GB2312" w:cs="宋体"/>
          <w:color w:val="000000"/>
          <w:kern w:val="0"/>
          <w:sz w:val="32"/>
          <w:szCs w:val="32"/>
          <w:highlight w:val="none"/>
        </w:rPr>
        <w:t>（农林水</w:t>
      </w:r>
      <w:r>
        <w:rPr>
          <w:rFonts w:hint="eastAsia" w:ascii="仿宋_GB2312" w:hAnsi="宋体" w:eastAsia="仿宋_GB2312" w:cs="宋体"/>
          <w:spacing w:val="-6"/>
          <w:kern w:val="0"/>
          <w:sz w:val="32"/>
          <w:szCs w:val="32"/>
          <w:highlight w:val="none"/>
        </w:rPr>
        <w:t>支出</w:t>
      </w:r>
      <w:r>
        <w:rPr>
          <w:rFonts w:hint="eastAsia" w:ascii="仿宋_GB2312" w:hAnsi="仿宋_GB2312" w:eastAsia="仿宋_GB2312" w:cs="宋体"/>
          <w:color w:val="000000"/>
          <w:kern w:val="0"/>
          <w:sz w:val="32"/>
          <w:szCs w:val="32"/>
          <w:highlight w:val="none"/>
        </w:rPr>
        <w:t>）165.19万元，主要用于：支付职工工资、津贴补贴、社会保障缴费和住房公积金及公用经费。</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五、关于</w:t>
      </w:r>
      <w:r>
        <w:rPr>
          <w:rFonts w:hint="eastAsia" w:ascii="黑体" w:hAnsi="宋体" w:eastAsia="黑体" w:cs="宋体"/>
          <w:kern w:val="0"/>
          <w:sz w:val="32"/>
          <w:szCs w:val="32"/>
          <w:highlight w:val="none"/>
          <w:lang w:eastAsia="zh-CN"/>
        </w:rPr>
        <w:t>克孜勒苏柯尔克孜自治州动物卫生监督所部门（单位）2021年</w:t>
      </w:r>
      <w:r>
        <w:rPr>
          <w:rFonts w:hint="eastAsia" w:ascii="黑体" w:hAnsi="宋体" w:eastAsia="黑体" w:cs="宋体"/>
          <w:kern w:val="0"/>
          <w:sz w:val="32"/>
          <w:szCs w:val="32"/>
          <w:highlight w:val="none"/>
        </w:rPr>
        <w:t>一般公共预算当年拨款情况说明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（一）一般公共预算当年拨款规模变化情况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克孜勒苏柯尔克孜自治州动物卫生监督所部门（单位）2021年</w:t>
      </w:r>
      <w:r>
        <w:rPr>
          <w:rFonts w:hint="eastAsia" w:ascii="仿宋_GB2312" w:hAnsi="宋体" w:eastAsia="仿宋_GB2312" w:cs="宋体"/>
          <w:kern w:val="0"/>
          <w:sz w:val="32"/>
          <w:szCs w:val="32"/>
          <w:highlight w:val="none"/>
        </w:rPr>
        <w:t>一般公共预算拨款合计</w:t>
      </w:r>
      <w:r>
        <w:rPr>
          <w:rFonts w:hint="eastAsia" w:ascii="仿宋_GB2312" w:hAnsi="宋体" w:eastAsia="仿宋_GB2312" w:cs="宋体"/>
          <w:kern w:val="0"/>
          <w:sz w:val="32"/>
          <w:szCs w:val="32"/>
          <w:highlight w:val="none"/>
          <w:lang w:val="en-US" w:eastAsia="zh-CN"/>
        </w:rPr>
        <w:t>165.19</w:t>
      </w:r>
      <w:r>
        <w:rPr>
          <w:rFonts w:hint="eastAsia" w:ascii="仿宋_GB2312" w:hAnsi="宋体" w:eastAsia="仿宋_GB2312" w:cs="宋体"/>
          <w:kern w:val="0"/>
          <w:sz w:val="32"/>
          <w:szCs w:val="32"/>
          <w:highlight w:val="none"/>
        </w:rPr>
        <w:t>万元，其中</w:t>
      </w:r>
      <w:r>
        <w:rPr>
          <w:rFonts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165.19</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比上年预算减少</w:t>
      </w:r>
      <w:r>
        <w:rPr>
          <w:rFonts w:hint="eastAsia" w:ascii="仿宋_GB2312" w:hAnsi="宋体" w:eastAsia="仿宋_GB2312" w:cs="宋体"/>
          <w:kern w:val="0"/>
          <w:sz w:val="32"/>
          <w:szCs w:val="32"/>
          <w:highlight w:val="none"/>
          <w:lang w:val="en-US" w:eastAsia="zh-CN"/>
        </w:rPr>
        <w:t>42.06</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20.29</w:t>
      </w:r>
      <w:r>
        <w:rPr>
          <w:rFonts w:hint="eastAsia" w:ascii="仿宋_GB2312" w:hAnsi="宋体" w:eastAsia="仿宋_GB2312" w:cs="宋体"/>
          <w:kern w:val="0"/>
          <w:sz w:val="32"/>
          <w:szCs w:val="32"/>
          <w:highlight w:val="none"/>
        </w:rPr>
        <w:t xml:space="preserve"> %。主要原因是：2020年在职人员减少三人，工资福利支出和公用经费减少了。</w:t>
      </w:r>
      <w:r>
        <w:rPr>
          <w:rFonts w:ascii="仿宋_GB2312" w:hAnsi="宋体" w:eastAsia="仿宋_GB2312" w:cs="宋体"/>
          <w:kern w:val="0"/>
          <w:sz w:val="32"/>
          <w:szCs w:val="32"/>
          <w:highlight w:val="none"/>
        </w:rPr>
        <w:t>项目</w:t>
      </w:r>
      <w:r>
        <w:rPr>
          <w:rFonts w:hint="eastAsia" w:ascii="仿宋_GB2312" w:hAnsi="宋体" w:eastAsia="仿宋_GB2312" w:cs="宋体"/>
          <w:kern w:val="0"/>
          <w:sz w:val="32"/>
          <w:szCs w:val="32"/>
          <w:highlight w:val="none"/>
        </w:rPr>
        <w:t>支出</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，比</w:t>
      </w:r>
      <w:r>
        <w:rPr>
          <w:rFonts w:hint="eastAsia" w:ascii="仿宋_GB2312" w:hAnsi="宋体" w:eastAsia="仿宋_GB2312" w:cs="宋体"/>
          <w:kern w:val="0"/>
          <w:sz w:val="32"/>
          <w:szCs w:val="32"/>
          <w:highlight w:val="none"/>
        </w:rPr>
        <w:t>上年</w:t>
      </w:r>
      <w:r>
        <w:rPr>
          <w:rFonts w:ascii="仿宋_GB2312" w:hAnsi="宋体" w:eastAsia="仿宋_GB2312" w:cs="宋体"/>
          <w:kern w:val="0"/>
          <w:sz w:val="32"/>
          <w:szCs w:val="32"/>
          <w:highlight w:val="none"/>
        </w:rPr>
        <w:t>预算增加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 </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eastAsia="zh-CN"/>
        </w:rPr>
        <w:t>预算未安排项目</w:t>
      </w:r>
      <w:r>
        <w:rPr>
          <w:rFonts w:hint="eastAsia" w:ascii="仿宋_GB2312" w:hAnsi="宋体" w:eastAsia="仿宋_GB2312" w:cs="宋体"/>
          <w:kern w:val="0"/>
          <w:sz w:val="32"/>
          <w:szCs w:val="32"/>
          <w:highlight w:val="none"/>
        </w:rPr>
        <w:t>。</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（二）一般公共预算当年拨款结构情况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eastAsia="仿宋_GB2312"/>
          <w:sz w:val="32"/>
          <w:szCs w:val="32"/>
          <w:highlight w:val="none"/>
        </w:rPr>
        <w:t>1.</w:t>
      </w:r>
      <w:r>
        <w:rPr>
          <w:rFonts w:hint="eastAsia" w:ascii="仿宋_GB2312" w:hAnsi="仿宋_GB2312" w:eastAsia="仿宋_GB2312" w:cs="宋体"/>
          <w:kern w:val="0"/>
          <w:sz w:val="32"/>
          <w:szCs w:val="32"/>
          <w:highlight w:val="none"/>
        </w:rPr>
        <w:t>一般公共预算农林水支出</w:t>
      </w:r>
      <w:r>
        <w:rPr>
          <w:rFonts w:hint="eastAsia" w:ascii="仿宋_GB2312" w:eastAsia="仿宋_GB2312"/>
          <w:sz w:val="32"/>
          <w:szCs w:val="32"/>
          <w:highlight w:val="none"/>
        </w:rPr>
        <w:t>162.59</w:t>
      </w:r>
      <w:r>
        <w:rPr>
          <w:rFonts w:hint="eastAsia" w:ascii="仿宋_GB2312" w:hAnsi="宋体" w:eastAsia="仿宋_GB2312" w:cs="宋体"/>
          <w:kern w:val="0"/>
          <w:sz w:val="32"/>
          <w:szCs w:val="32"/>
          <w:highlight w:val="none"/>
        </w:rPr>
        <w:t>万元，占98.18%。</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2.教育支出（205）2.6万元、占1.82%。</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（三）一般公共预算当年拨款具体使用情况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eastAsia="仿宋_GB2312"/>
          <w:sz w:val="32"/>
          <w:szCs w:val="32"/>
          <w:highlight w:val="none"/>
        </w:rPr>
        <w:t>1.</w:t>
      </w:r>
      <w:r>
        <w:rPr>
          <w:rFonts w:hint="eastAsia" w:ascii="仿宋_GB2312" w:hAnsi="仿宋_GB2312" w:eastAsia="仿宋_GB2312" w:cs="宋体"/>
          <w:kern w:val="0"/>
          <w:sz w:val="32"/>
          <w:szCs w:val="32"/>
          <w:highlight w:val="none"/>
        </w:rPr>
        <w:t>一般公共预算农林水支出</w:t>
      </w:r>
      <w:r>
        <w:rPr>
          <w:rFonts w:hint="eastAsia" w:ascii="仿宋_GB2312" w:eastAsia="仿宋_GB2312"/>
          <w:sz w:val="32"/>
          <w:szCs w:val="32"/>
          <w:highlight w:val="none"/>
        </w:rPr>
        <w:t>（213）农业农村（01）行政运行(01)；</w:t>
      </w:r>
      <w:r>
        <w:rPr>
          <w:rFonts w:hint="eastAsia" w:ascii="仿宋_GB2312" w:hAnsi="宋体" w:eastAsia="仿宋_GB2312" w:cs="宋体"/>
          <w:kern w:val="0"/>
          <w:sz w:val="32"/>
          <w:szCs w:val="32"/>
          <w:highlight w:val="none"/>
        </w:rPr>
        <w:t>克孜勒苏柯尔克孜自治州物卫生监督所2021年一般公共预算拨款基本支出162.19万元，比上年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数2</w:t>
      </w:r>
      <w:r>
        <w:rPr>
          <w:rFonts w:hint="eastAsia" w:ascii="仿宋_GB2312" w:hAnsi="宋体" w:eastAsia="仿宋_GB2312" w:cs="宋体"/>
          <w:kern w:val="0"/>
          <w:sz w:val="32"/>
          <w:szCs w:val="32"/>
          <w:highlight w:val="none"/>
          <w:lang w:val="en-US" w:eastAsia="zh-CN"/>
        </w:rPr>
        <w:t>42.06</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20.29</w:t>
      </w:r>
      <w:r>
        <w:rPr>
          <w:rFonts w:hint="eastAsia" w:ascii="仿宋_GB2312" w:hAnsi="宋体" w:eastAsia="仿宋_GB2312" w:cs="宋体"/>
          <w:kern w:val="0"/>
          <w:sz w:val="32"/>
          <w:szCs w:val="32"/>
          <w:highlight w:val="none"/>
        </w:rPr>
        <w:t xml:space="preserve"> %。主要原因是：2020年在职人员减少三人，工资福利支出和公用经费减少了。</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highlight w:val="none"/>
        </w:rPr>
        <w:t xml:space="preserve"> 2.教育支出（205）普通教育（02）学前教育</w:t>
      </w:r>
      <w:r>
        <w:rPr>
          <w:rFonts w:hint="eastAsia" w:ascii="仿宋_GB2312" w:hAnsi="宋体" w:eastAsia="仿宋_GB2312" w:cs="宋体"/>
          <w:kern w:val="0"/>
          <w:sz w:val="32"/>
          <w:szCs w:val="32"/>
        </w:rPr>
        <w:t>（01）；克孜勒苏柯尔克孜自治州物卫生监督所2020年教育支出预算数2.6万元，比上年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%。主要原因是：2020年</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lang w:val="en-US" w:eastAsia="zh-CN"/>
        </w:rPr>
        <w:t>2021年的预算数一样</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克孜勒苏柯尔克孜自治州动物卫生监督所部门（单位）2021年</w:t>
      </w:r>
      <w:r>
        <w:rPr>
          <w:rFonts w:hint="eastAsia" w:ascii="黑体" w:hAnsi="宋体" w:eastAsia="黑体" w:cs="宋体"/>
          <w:kern w:val="0"/>
          <w:sz w:val="32"/>
          <w:szCs w:val="32"/>
        </w:rPr>
        <w:t>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克孜勒苏柯尔克孜自治州动物卫生监督所部门（单位）</w:t>
      </w:r>
      <w:r>
        <w:rPr>
          <w:rFonts w:hint="eastAsia" w:ascii="仿宋_GB2312" w:hAnsi="宋体" w:eastAsia="仿宋_GB2312" w:cs="宋体"/>
          <w:kern w:val="0"/>
          <w:sz w:val="32"/>
          <w:szCs w:val="32"/>
        </w:rPr>
        <w:t>2021年一般公共预算基本支出 165.19万元，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160.43万元，主要包括：基本工资49.84万元、津贴补贴60.27万元、奖金5.02万元、机关事业单位基本养老保险缴费16.2万元、职工基本医疗保险缴费10.85万元、住房公积金11.65万元、退休费3.23万元、生活补助0.44万元、奖励金0.31万元，其他对个人和家庭的补助等2.6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公用经费4.76万元，主要包括：办公费1万元、水费0.2万元、电费0.5万元、邮电费0.5万元、公务接待费0.2万元、工会经费0.7万元、福利费1.26万元、公务用车运行维护费0.4万元。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克孜勒苏柯尔克孜自治州动物卫生监督所部门（单位）2021年</w:t>
      </w:r>
      <w:r>
        <w:rPr>
          <w:rFonts w:hint="eastAsia" w:ascii="黑体" w:hAnsi="宋体" w:eastAsia="黑体" w:cs="宋体"/>
          <w:kern w:val="0"/>
          <w:sz w:val="32"/>
          <w:szCs w:val="32"/>
        </w:rPr>
        <w:t>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克孜勒苏柯尔克孜自治州动物卫生监督所部门（单位）2021年</w:t>
      </w:r>
      <w:r>
        <w:rPr>
          <w:rFonts w:hint="eastAsia" w:ascii="黑体" w:hAnsi="宋体" w:eastAsia="黑体" w:cs="宋体"/>
          <w:kern w:val="0"/>
          <w:sz w:val="32"/>
          <w:szCs w:val="32"/>
        </w:rPr>
        <w:t>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克孜勒苏柯尔克孜自治州动物卫生监督所部门（单位）</w:t>
      </w:r>
      <w:r>
        <w:rPr>
          <w:rFonts w:hint="eastAsia" w:ascii="仿宋_GB2312" w:hAnsi="宋体" w:eastAsia="仿宋_GB2312" w:cs="宋体"/>
          <w:kern w:val="0"/>
          <w:sz w:val="32"/>
          <w:szCs w:val="32"/>
        </w:rPr>
        <w:t>2021年一般公共预算“三公”经费数为0.6万元，其中：因公出国（境）费0万元，公务用车购置0万元，公务用车运行费0.4 万元，公务接待费0.2万元。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减少1万元，其中：因公出国（境）费减少1 万元，主要原因是未安排预算 ；公务用车购置费为，未安排预算。公务用车运行费减少1万元，主要原因是2021年减少3人员因，经费也减少了 ；公务接待费增加0万元，主要原因是未安排预算。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克孜勒苏柯尔克孜自治州动物卫生监督所部门（单位）2021年</w:t>
      </w:r>
      <w:r>
        <w:rPr>
          <w:rFonts w:hint="eastAsia" w:ascii="黑体" w:hAnsi="宋体" w:eastAsia="黑体" w:cs="宋体"/>
          <w:kern w:val="0"/>
          <w:sz w:val="32"/>
          <w:szCs w:val="32"/>
        </w:rPr>
        <w:t>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克孜勒苏柯尔克孜自治州动物卫生监督所部门（单位）2021年</w:t>
      </w:r>
      <w:r>
        <w:rPr>
          <w:rFonts w:hint="eastAsia" w:ascii="仿宋_GB2312" w:hAnsi="宋体" w:eastAsia="仿宋_GB2312" w:cs="宋体"/>
          <w:kern w:val="0"/>
          <w:sz w:val="32"/>
          <w:szCs w:val="32"/>
        </w:rPr>
        <w:t>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州动物卫生监督所及下属0家行政单位机关运行经费财政拨款预算4.76万元，比上年预算减少1.9  万元，下降28.52 %。主要原因是：2020年在职人员减少三人，工资福利支出和公用经费减少了，预算未安排其他项目和上级补助收入。</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克孜勒苏柯尔克孜自治州动物卫生监督所部门（单位）</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4.4</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万元，政府采购服务预算 </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eastAsia="zh-CN"/>
        </w:rPr>
        <w:t>2021年</w:t>
      </w:r>
      <w:r>
        <w:rPr>
          <w:rFonts w:hint="eastAsia" w:ascii="仿宋_GB2312" w:hAnsi="仿宋_GB2312" w:eastAsia="仿宋_GB2312"/>
          <w:sz w:val="32"/>
        </w:rPr>
        <w:t>度本</w:t>
      </w:r>
      <w:r>
        <w:rPr>
          <w:rFonts w:hint="eastAsia" w:ascii="仿宋_GB2312" w:hAnsi="仿宋_GB2312" w:eastAsia="仿宋_GB2312"/>
          <w:sz w:val="32"/>
          <w:lang w:eastAsia="zh-CN"/>
        </w:rPr>
        <w:t>克孜勒苏柯尔克孜自治州动物卫生监督所部门（单位）</w:t>
      </w:r>
      <w:r>
        <w:rPr>
          <w:rFonts w:hint="eastAsia" w:ascii="仿宋_GB2312" w:hAnsi="仿宋_GB2312" w:eastAsia="仿宋_GB2312"/>
          <w:sz w:val="32"/>
        </w:rPr>
        <w:t>面向中小企业预留政府采购项目预算金额</w:t>
      </w:r>
      <w:r>
        <w:rPr>
          <w:rFonts w:hint="eastAsia" w:ascii="仿宋_GB2312" w:hAnsi="仿宋_GB2312" w:eastAsia="仿宋_GB2312"/>
          <w:sz w:val="32"/>
          <w:lang w:val="en-US" w:eastAsia="zh-CN"/>
        </w:rPr>
        <w:t>4.4</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4.4</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底，</w:t>
      </w:r>
      <w:r>
        <w:rPr>
          <w:rFonts w:hint="eastAsia" w:ascii="仿宋_GB2312" w:hAnsi="宋体" w:eastAsia="仿宋_GB2312" w:cs="宋体"/>
          <w:kern w:val="0"/>
          <w:sz w:val="32"/>
          <w:szCs w:val="32"/>
          <w:lang w:eastAsia="zh-CN"/>
        </w:rPr>
        <w:t>克孜勒苏柯尔克孜自治州动物卫生监督所部门（单位）</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 2辆，价值37.94万元；其中：一般公务用车1辆，价值21.04万元；执法执勤用车0辆，价值0万元；其他车辆1辆，价值19.6万元。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 12.53万元。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4.其他资产价值48.34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单位价值5万元以上大型设备0台（套），单位价值1万元以上大型设备0台（套）。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w:t>
      </w:r>
      <w:r>
        <w:rPr>
          <w:rFonts w:hint="eastAsia" w:ascii="仿宋_GB2312" w:hAnsi="宋体" w:eastAsia="仿宋_GB2312" w:cs="宋体"/>
          <w:kern w:val="0"/>
          <w:sz w:val="32"/>
          <w:szCs w:val="32"/>
          <w:lang w:eastAsia="zh-CN"/>
        </w:rPr>
        <w:t>克孜勒苏柯尔克孜自治州动物卫生监督所部门（单位）</w:t>
      </w:r>
      <w:r>
        <w:rPr>
          <w:rFonts w:hint="eastAsia" w:ascii="仿宋_GB2312" w:hAnsi="宋体" w:eastAsia="仿宋_GB2312" w:cs="宋体"/>
          <w:kern w:val="0"/>
          <w:sz w:val="32"/>
          <w:szCs w:val="32"/>
        </w:rPr>
        <w:t>预算未安排购置车辆经费（或安排购置车辆经费  万元），安排购置5万元以上大型设备 0台（套），单位价值1万元以上大型设备0台（套）。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 xml:space="preserve">度，本年度实行绩效管理的一般公共预算项目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个，涉及预算金额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万元。具体情况见下表：</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7"/>
        <w:tblW w:w="0" w:type="auto"/>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XX单位</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XXXXX</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footerReference r:id="rId5" w:type="default"/>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480" w:lineRule="exact"/>
        <w:ind w:firstLine="627" w:firstLineChars="196"/>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克孜勒苏柯尔克孜自治州动物卫生监督所部门（单位）无</w:t>
      </w:r>
      <w:r>
        <w:rPr>
          <w:rFonts w:hint="eastAsia" w:ascii="仿宋_GB2312" w:hAnsi="宋体" w:eastAsia="仿宋_GB2312" w:cs="宋体"/>
          <w:kern w:val="0"/>
          <w:sz w:val="32"/>
          <w:szCs w:val="32"/>
        </w:rPr>
        <w:t>其他需说明</w:t>
      </w:r>
      <w:r>
        <w:rPr>
          <w:rFonts w:hint="eastAsia" w:ascii="仿宋_GB2312" w:hAnsi="宋体" w:eastAsia="仿宋_GB2312" w:cs="宋体"/>
          <w:kern w:val="0"/>
          <w:sz w:val="32"/>
          <w:szCs w:val="32"/>
          <w:lang w:eastAsia="zh-CN"/>
        </w:rPr>
        <w:t>。</w:t>
      </w:r>
    </w:p>
    <w:p>
      <w:pPr>
        <w:widowControl/>
        <w:spacing w:line="520" w:lineRule="exact"/>
        <w:jc w:val="left"/>
        <w:rPr>
          <w:rFonts w:hint="eastAsia" w:ascii="仿宋_GB2312" w:hAnsi="宋体" w:eastAsia="仿宋_GB2312" w:cs="宋体"/>
          <w:kern w:val="0"/>
          <w:sz w:val="32"/>
          <w:szCs w:val="32"/>
          <w:lang w:eastAsia="zh-CN"/>
        </w:rPr>
      </w:pP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highlight w:val="none"/>
        </w:rPr>
      </w:pPr>
      <w:r>
        <w:rPr>
          <w:rFonts w:hint="eastAsia" w:ascii="黑体" w:hAnsi="黑体" w:eastAsia="黑体"/>
          <w:sz w:val="32"/>
          <w:szCs w:val="32"/>
        </w:rPr>
        <w:t>一、财政拨款：</w:t>
      </w: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、“三公”经费：</w:t>
      </w:r>
      <w:r>
        <w:rPr>
          <w:rFonts w:hint="eastAsia" w:ascii="仿宋_GB2312" w:eastAsia="仿宋_GB2312"/>
          <w:sz w:val="32"/>
          <w:szCs w:val="32"/>
        </w:rPr>
        <w:t>指自治州本级</w:t>
      </w:r>
      <w:r>
        <w:rPr>
          <w:rFonts w:hint="eastAsia" w:ascii="仿宋_GB2312" w:eastAsia="仿宋_GB2312"/>
          <w:sz w:val="32"/>
          <w:szCs w:val="32"/>
          <w:lang w:eastAsia="zh-CN"/>
        </w:rPr>
        <w:t>克孜勒苏柯尔克孜自治州动物卫生监督所部门（单位）</w:t>
      </w:r>
      <w:r>
        <w:rPr>
          <w:rFonts w:hint="eastAsia" w:ascii="仿宋_GB2312" w:eastAsia="仿宋_GB2312"/>
          <w:sz w:val="32"/>
          <w:szCs w:val="32"/>
        </w:rPr>
        <w:t>用一般公共预算财政拨款安排的公务用车购置及运行费和公务接待费。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、机关运行经费：</w:t>
      </w:r>
      <w:r>
        <w:rPr>
          <w:rFonts w:hint="eastAsia" w:ascii="仿宋_GB2312" w:eastAsia="仿宋_GB2312"/>
          <w:sz w:val="32"/>
          <w:szCs w:val="32"/>
        </w:rPr>
        <w:t>指各</w:t>
      </w:r>
      <w:r>
        <w:rPr>
          <w:rFonts w:hint="eastAsia" w:ascii="仿宋_GB2312" w:eastAsia="仿宋_GB2312"/>
          <w:sz w:val="32"/>
          <w:szCs w:val="32"/>
          <w:lang w:eastAsia="zh-CN"/>
        </w:rPr>
        <w:t>克孜勒苏柯尔克孜自治州动物卫生监督所部门（单位）</w:t>
      </w:r>
      <w:r>
        <w:rPr>
          <w:rFonts w:hint="eastAsia" w:ascii="仿宋_GB2312" w:eastAsia="仿宋_GB2312"/>
          <w:sz w:val="32"/>
          <w:szCs w:val="32"/>
        </w:rPr>
        <w:t>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克孜勒苏柯尔克孜自治州动物卫生监督所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bookmarkEnd w:id="0"/>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6" w:type="default"/>
      <w:footerReference r:id="rId7"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- 33 -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7219F8"/>
    <w:rsid w:val="007E2CEA"/>
    <w:rsid w:val="009035BA"/>
    <w:rsid w:val="00950B98"/>
    <w:rsid w:val="0096028F"/>
    <w:rsid w:val="0099744C"/>
    <w:rsid w:val="009C6198"/>
    <w:rsid w:val="00A9706D"/>
    <w:rsid w:val="00BA582F"/>
    <w:rsid w:val="00C117E5"/>
    <w:rsid w:val="00CA4E1E"/>
    <w:rsid w:val="00CE5389"/>
    <w:rsid w:val="00DC05BF"/>
    <w:rsid w:val="00E569BC"/>
    <w:rsid w:val="00EF4090"/>
    <w:rsid w:val="00F23808"/>
    <w:rsid w:val="00F54FE8"/>
    <w:rsid w:val="00F830A1"/>
    <w:rsid w:val="00F83503"/>
    <w:rsid w:val="00F90952"/>
    <w:rsid w:val="1AD92A53"/>
    <w:rsid w:val="1EB147B4"/>
    <w:rsid w:val="219A40AE"/>
    <w:rsid w:val="247122BA"/>
    <w:rsid w:val="25043783"/>
    <w:rsid w:val="2E0242EC"/>
    <w:rsid w:val="2E782817"/>
    <w:rsid w:val="31E47F7D"/>
    <w:rsid w:val="39752F79"/>
    <w:rsid w:val="52E20388"/>
    <w:rsid w:val="53962252"/>
    <w:rsid w:val="62366543"/>
    <w:rsid w:val="633305F1"/>
    <w:rsid w:val="7DCF6250"/>
    <w:rsid w:val="7ED84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23"/>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 w:type="character" w:customStyle="1" w:styleId="23">
    <w:name w:val="正文文本缩进 3 Char"/>
    <w:link w:val="5"/>
    <w:qFormat/>
    <w:uiPriority w:val="0"/>
    <w:rPr>
      <w:rFonts w:eastAsia="仿宋_GB2312"/>
      <w:sz w:val="32"/>
      <w:szCs w:val="24"/>
    </w:rPr>
  </w:style>
  <w:style w:type="character" w:customStyle="1" w:styleId="24">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2455</Words>
  <Characters>13996</Characters>
  <Lines>116</Lines>
  <Paragraphs>32</Paragraphs>
  <TotalTime>0</TotalTime>
  <ScaleCrop>false</ScaleCrop>
  <LinksUpToDate>false</LinksUpToDate>
  <CharactersWithSpaces>16419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热依拉·阿不来提</cp:lastModifiedBy>
  <dcterms:modified xsi:type="dcterms:W3CDTF">2021-03-01T12:43:04Z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