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克孜勒苏柯尔克孜自治州纪委监委部门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ascii="方正小标宋_GBK" w:hAnsi="宋体" w:eastAsia="方正小标宋_GBK"/>
          <w:kern w:val="0"/>
          <w:sz w:val="44"/>
          <w:szCs w:val="44"/>
        </w:rPr>
        <w:t>202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ascii="黑体" w:hAnsi="黑体" w:eastAsia="黑体"/>
          <w:kern w:val="0"/>
          <w:sz w:val="36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2"/>
        </w:rPr>
        <w:t>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克孜勒苏柯尔克孜自治州纪委监委单位概况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克孜勒苏柯尔克孜自治州纪委监委</w:t>
      </w:r>
      <w:r>
        <w:rPr>
          <w:rFonts w:ascii="仿宋_GB2312" w:hAnsi="宋体" w:eastAsia="仿宋_GB2312"/>
          <w:b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第三部分克州纪委监委</w:t>
      </w:r>
      <w:r>
        <w:rPr>
          <w:rFonts w:ascii="仿宋_GB2312" w:hAnsi="宋体" w:eastAsia="仿宋_GB2312"/>
          <w:b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三、关于克州纪委监委支出预算情况说明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</w:rPr>
        <w:t>克州纪委监委</w:t>
      </w:r>
      <w:r>
        <w:rPr>
          <w:rFonts w:ascii="仿宋_GB2312" w:hAnsi="宋体" w:eastAsia="仿宋_GB2312"/>
          <w:bCs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九、关于克州纪委监委</w:t>
      </w:r>
      <w:r>
        <w:rPr>
          <w:rFonts w:ascii="仿宋_GB2312" w:hAnsi="宋体" w:eastAsia="仿宋_GB2312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名词解释</w:t>
      </w: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第一部分克州纪委监委</w:t>
      </w:r>
      <w:r>
        <w:rPr>
          <w:rFonts w:ascii="仿宋_GB2312" w:hAnsi="宋体" w:eastAsia="仿宋_GB2312"/>
          <w:b/>
          <w:kern w:val="0"/>
          <w:sz w:val="32"/>
          <w:szCs w:val="32"/>
        </w:rPr>
        <w:t>202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年单位概况</w:t>
      </w:r>
    </w:p>
    <w:p>
      <w:pPr>
        <w:widowControl/>
        <w:spacing w:line="560" w:lineRule="exact"/>
        <w:jc w:val="left"/>
        <w:rPr>
          <w:rFonts w:ascii="宋体"/>
          <w:b/>
          <w:kern w:val="0"/>
          <w:sz w:val="32"/>
          <w:szCs w:val="32"/>
        </w:rPr>
      </w:pPr>
    </w:p>
    <w:p>
      <w:pPr>
        <w:widowControl/>
        <w:spacing w:line="560" w:lineRule="exact"/>
        <w:ind w:firstLine="630" w:firstLineChars="196"/>
        <w:jc w:val="left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宋体"/>
          <w:b/>
          <w:kern w:val="0"/>
          <w:sz w:val="32"/>
          <w:szCs w:val="32"/>
        </w:rPr>
        <w:t>一、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主要职能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克州纪委主要职能：维护党的章程和其他党内法规，检查党的路线、方针、政策和决议的执行情况，协助党的委员会加强党风建设和组织协调反腐败工作。组织实施机关的各类会议，负责督查检查、调研、学习等日常活动的各项服务、组织工作。</w:t>
      </w:r>
    </w:p>
    <w:p>
      <w:pPr>
        <w:widowControl/>
        <w:spacing w:line="560" w:lineRule="exact"/>
        <w:ind w:firstLine="643" w:firstLineChars="200"/>
        <w:jc w:val="left"/>
        <w:rPr>
          <w:rFonts w:ascii="宋体"/>
          <w:b/>
          <w:kern w:val="0"/>
          <w:sz w:val="32"/>
          <w:szCs w:val="32"/>
        </w:rPr>
      </w:pPr>
      <w:r>
        <w:rPr>
          <w:rFonts w:hint="eastAsia" w:ascii="宋体"/>
          <w:b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克州纪委监委单位无下属预算单位，下设</w:t>
      </w:r>
      <w:r>
        <w:rPr>
          <w:rFonts w:ascii="仿宋" w:hAnsi="仿宋" w:eastAsia="仿宋" w:cs="宋体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个处室，分别是：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年克州纪委监委部门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下设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18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、党风政风室、组织部、宣传部、信访室、案管室、审理室、干部监督管理室、第一执纪监督室、第二执纪监督室、第三执纪监督室、第四执纪监督室、第五审查调查室、第六审查调查室、第七审查调查室、办案协调管理中心，巡察办、州纪委综合派驻</w:t>
      </w:r>
      <w:r>
        <w:rPr>
          <w:rFonts w:ascii="仿宋" w:hAnsi="仿宋" w:eastAsia="仿宋" w:cs="宋体"/>
          <w:kern w:val="0"/>
          <w:sz w:val="32"/>
          <w:szCs w:val="32"/>
        </w:rPr>
        <w:t>8+1</w:t>
      </w:r>
      <w:r>
        <w:rPr>
          <w:rFonts w:hint="eastAsia" w:ascii="仿宋" w:hAnsi="仿宋" w:eastAsia="仿宋" w:cs="宋体"/>
          <w:kern w:val="0"/>
          <w:sz w:val="32"/>
          <w:szCs w:val="32"/>
        </w:rPr>
        <w:t>个纪检组。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年克州纪委监委部门编制数</w:t>
      </w:r>
      <w:r>
        <w:rPr>
          <w:rFonts w:ascii="仿宋" w:hAnsi="仿宋" w:eastAsia="仿宋" w:cs="宋体"/>
          <w:kern w:val="0"/>
          <w:sz w:val="32"/>
          <w:szCs w:val="32"/>
        </w:rPr>
        <w:t>156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人，实有人数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人，其中：在职</w:t>
      </w: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退休</w:t>
      </w:r>
      <w:r>
        <w:rPr>
          <w:rFonts w:ascii="仿宋" w:hAnsi="仿宋" w:eastAsia="仿宋" w:cs="宋体"/>
          <w:kern w:val="0"/>
          <w:sz w:val="32"/>
          <w:szCs w:val="32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</w:rPr>
        <w:t>人，离休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br w:type="page"/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pacing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第二部分</w:t>
      </w:r>
      <w:r>
        <w:rPr>
          <w:rFonts w:ascii="黑体" w:hAnsi="黑体" w:eastAsia="黑体"/>
          <w:kern w:val="0"/>
          <w:sz w:val="32"/>
          <w:szCs w:val="32"/>
        </w:rPr>
        <w:t xml:space="preserve"> 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：</w:t>
      </w:r>
    </w:p>
    <w:tbl>
      <w:tblPr>
        <w:tblStyle w:val="7"/>
        <w:tblW w:w="131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5"/>
        <w:gridCol w:w="1620"/>
        <w:gridCol w:w="2175"/>
        <w:gridCol w:w="1350"/>
        <w:gridCol w:w="1350"/>
        <w:gridCol w:w="1800"/>
        <w:gridCol w:w="13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预算01表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8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28" w:firstLineChars="6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部门收支总体情况表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28" w:firstLineChars="60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                    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一、财政拨款（补助）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 一般公共服务支出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一般公共预算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 外交支出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政府性基金预算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 国防支出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教育收费（财政专户）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 公共安全支出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 教育支出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 科学技术支出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 文化体育与传媒支出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 社会保障和就业支出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 社会保险基金支出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 医疗卫生与计划生育支出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 节能环保支出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 城乡社区支出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 农林水支出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 交通运输支出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 资源勘探信息等支出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 商业服务业等支出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 金融支出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 援助其他地区支出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9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 国土资源气象等支出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 住房保障支出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 粮油物资管理支出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 国有资本经营预算支出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 灾害防治及应急管理支出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 预备费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 其他支出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 转移性支出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 债务还本支出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 债务付息支出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 债务发行费支出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年  收  入  小  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年  支  出  小 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150" w:type="dxa"/>
          <w:trHeight w:val="360" w:hRule="atLeast"/>
        </w:trPr>
        <w:tc>
          <w:tcPr>
            <w:tcW w:w="3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      入      总      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   出  总  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77.95</w:t>
            </w:r>
          </w:p>
        </w:tc>
        <w:tc>
          <w:tcPr>
            <w:tcW w:w="1350" w:type="dxa"/>
            <w:vMerge w:val="continue"/>
            <w:tcBorders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tbl>
      <w:tblPr>
        <w:tblStyle w:val="8"/>
        <w:tblpPr w:leftFromText="180" w:rightFromText="180" w:vertAnchor="text" w:tblpX="9579" w:tblpY="-512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0" w:hRule="atLeast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outlineLvl w:val="1"/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             </w:t>
      </w:r>
    </w:p>
    <w:tbl>
      <w:tblPr>
        <w:tblStyle w:val="7"/>
        <w:tblW w:w="91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45"/>
        <w:gridCol w:w="675"/>
        <w:gridCol w:w="2325"/>
        <w:gridCol w:w="750"/>
        <w:gridCol w:w="870"/>
        <w:gridCol w:w="375"/>
        <w:gridCol w:w="431"/>
        <w:gridCol w:w="211"/>
        <w:gridCol w:w="211"/>
        <w:gridCol w:w="211"/>
        <w:gridCol w:w="211"/>
        <w:gridCol w:w="480"/>
        <w:gridCol w:w="212"/>
        <w:gridCol w:w="93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预算02表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部门收入总体情况表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</w:p>
        </w:tc>
        <w:tc>
          <w:tcPr>
            <w:tcW w:w="16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一般公共预算拨款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政府性基金预算拨款</w:t>
            </w:r>
          </w:p>
        </w:tc>
        <w:tc>
          <w:tcPr>
            <w:tcW w:w="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财政专户管理资金</w:t>
            </w:r>
          </w:p>
        </w:tc>
        <w:tc>
          <w:tcPr>
            <w:tcW w:w="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上级专项收入</w:t>
            </w:r>
          </w:p>
        </w:tc>
        <w:tc>
          <w:tcPr>
            <w:tcW w:w="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单位上年结余（不包含国库集中支付额度结余）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一般公共服务支出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1777.95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1760.95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17.00</w:t>
            </w: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纪检监察事务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行政运行（纪检监察事务）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1760.95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其他纪检监察事务支出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17.00</w:t>
            </w: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1777.95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1760.95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：</w:t>
      </w:r>
    </w:p>
    <w:tbl>
      <w:tblPr>
        <w:tblStyle w:val="7"/>
        <w:tblW w:w="88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750"/>
        <w:gridCol w:w="975"/>
        <w:gridCol w:w="2460"/>
        <w:gridCol w:w="1410"/>
        <w:gridCol w:w="1333"/>
        <w:gridCol w:w="103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预算03表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8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部门支出总体情况表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62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功能分类科目编码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功能分类科目名称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   计</w:t>
            </w:r>
          </w:p>
        </w:tc>
        <w:tc>
          <w:tcPr>
            <w:tcW w:w="1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一般公共服务支出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1777.95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1,753.95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纪检监察事务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1,753.95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行政运行（纪检监察事务）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1760.95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1,753.95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其他纪检监察事务支出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1777.95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1753.95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24.00</w:t>
            </w:r>
          </w:p>
        </w:tc>
      </w:tr>
    </w:tbl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：</w:t>
      </w:r>
    </w:p>
    <w:p>
      <w:pPr>
        <w:widowControl/>
        <w:spacing w:beforeLines="50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Lines="50"/>
        <w:jc w:val="center"/>
        <w:outlineLvl w:val="1"/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</w:pP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  <w:t>填制部门：克孜勒苏柯尔克孜自治州纪委监委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      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        </w:t>
      </w: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  <w:t xml:space="preserve"> 单位：万元</w:t>
      </w:r>
    </w:p>
    <w:tbl>
      <w:tblPr>
        <w:tblStyle w:val="7"/>
        <w:tblW w:w="947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091"/>
        <w:gridCol w:w="2588"/>
        <w:gridCol w:w="1422"/>
        <w:gridCol w:w="1279"/>
        <w:gridCol w:w="1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20.8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205教育支出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206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计计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单位上年结余（不包含国库集中支付额度结余）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203转移性支出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收入总计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支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计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1760.95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5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492"/>
        <w:gridCol w:w="463"/>
        <w:gridCol w:w="2488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一般公共服务支出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760.95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753.95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纪检监察事务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1760.95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  <w:t>1753.95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行政运行（纪检监察事务）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1760.95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1753.95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1760.95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1753.95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  <w:sectPr>
          <w:footerReference r:id="rId3" w:type="default"/>
          <w:pgSz w:w="11906" w:h="16838"/>
          <w:pgMar w:top="1985" w:right="1531" w:bottom="1701" w:left="1531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预算06表</w:t>
      </w:r>
    </w:p>
    <w:tbl>
      <w:tblPr>
        <w:tblStyle w:val="7"/>
        <w:tblW w:w="9496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2031"/>
        <w:gridCol w:w="385"/>
        <w:gridCol w:w="1089"/>
        <w:gridCol w:w="758"/>
        <w:gridCol w:w="924"/>
        <w:gridCol w:w="769"/>
        <w:gridCol w:w="1657"/>
        <w:gridCol w:w="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375" w:hRule="atLeast"/>
        </w:trPr>
        <w:tc>
          <w:tcPr>
            <w:tcW w:w="945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05" w:hRule="atLeast"/>
        </w:trPr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2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52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经济分类科目编码</w:t>
            </w:r>
          </w:p>
        </w:tc>
        <w:tc>
          <w:tcPr>
            <w:tcW w:w="2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经济分类科目名称</w:t>
            </w:r>
          </w:p>
        </w:tc>
        <w:tc>
          <w:tcPr>
            <w:tcW w:w="18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6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款</w:t>
            </w:r>
          </w:p>
        </w:tc>
        <w:tc>
          <w:tcPr>
            <w:tcW w:w="2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01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468.69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468.69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636.50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636.50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70.61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70.61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161.33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161.33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其他社会保障费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90.72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90.72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116.26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116.26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27.15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27.15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02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17.32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17.32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16.87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3.5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6.86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6.86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13.34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12.34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12.00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12.55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4.10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4.10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0.03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15.12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15.12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1,753.95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1,607.83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146.12</w:t>
            </w:r>
          </w:p>
        </w:tc>
      </w:tr>
    </w:tbl>
    <w:p>
      <w:pPr>
        <w:widowControl/>
        <w:outlineLvl w:val="1"/>
        <w:rPr>
          <w:rFonts w:hint="eastAsia"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  <w:sectPr>
          <w:pgSz w:w="11906" w:h="16838"/>
          <w:pgMar w:top="1985" w:right="1531" w:bottom="1701" w:left="1531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901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557"/>
        <w:gridCol w:w="636"/>
        <w:gridCol w:w="451"/>
        <w:gridCol w:w="1578"/>
        <w:gridCol w:w="910"/>
        <w:gridCol w:w="550"/>
        <w:gridCol w:w="97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93"/>
        <w:gridCol w:w="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4" w:type="dxa"/>
          <w:trHeight w:val="375" w:hRule="atLeast"/>
        </w:trPr>
        <w:tc>
          <w:tcPr>
            <w:tcW w:w="988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一般公共预算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1" w:type="dxa"/>
          <w:wAfter w:w="4" w:type="dxa"/>
          <w:trHeight w:val="405" w:hRule="atLeast"/>
        </w:trPr>
        <w:tc>
          <w:tcPr>
            <w:tcW w:w="47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填制部门：克孜勒苏柯尔克孜自治州纪委监委</w:t>
            </w: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5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1578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910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55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7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68" w:type="dxa"/>
            <w:gridSpan w:val="2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636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51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1578" w:type="dxa"/>
            <w:vMerge w:val="continue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68" w:type="dxa"/>
            <w:gridSpan w:val="2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6" w:type="dxa"/>
            <w:vAlign w:val="center"/>
          </w:tcPr>
          <w:p>
            <w:pPr>
              <w:ind w:right="100"/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一般公共服务支出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0" w:type="dxa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　</w:t>
            </w:r>
          </w:p>
        </w:tc>
        <w:tc>
          <w:tcPr>
            <w:tcW w:w="550" w:type="dxa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56" w:type="dxa"/>
            <w:gridSpan w:val="2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  <w:vAlign w:val="center"/>
          </w:tcPr>
          <w:p>
            <w:pPr>
              <w:jc w:val="right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636" w:type="dxa"/>
            <w:vAlign w:val="center"/>
          </w:tcPr>
          <w:p>
            <w:pPr>
              <w:ind w:right="100" w:rightChars="0"/>
              <w:jc w:val="right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51" w:type="dxa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纪检监察事务　</w:t>
            </w:r>
          </w:p>
        </w:tc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5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56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652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201</w:t>
            </w:r>
          </w:p>
        </w:tc>
        <w:tc>
          <w:tcPr>
            <w:tcW w:w="636" w:type="dxa"/>
            <w:vAlign w:val="center"/>
          </w:tcPr>
          <w:p>
            <w:pPr>
              <w:ind w:right="100" w:rightChars="0"/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11</w:t>
            </w:r>
          </w:p>
        </w:tc>
        <w:tc>
          <w:tcPr>
            <w:tcW w:w="451" w:type="dxa"/>
            <w:vAlign w:val="center"/>
          </w:tcPr>
          <w:p>
            <w:pPr>
              <w:jc w:val="right"/>
              <w:rPr>
                <w:rFonts w:hint="default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01</w:t>
            </w:r>
          </w:p>
        </w:tc>
        <w:tc>
          <w:tcPr>
            <w:tcW w:w="1578" w:type="dxa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行政运行（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纪检监察事务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群众工作经费</w:t>
            </w:r>
          </w:p>
        </w:tc>
        <w:tc>
          <w:tcPr>
            <w:tcW w:w="550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56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52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52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19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78" w:type="dxa"/>
            <w:vAlign w:val="top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  <w:vAlign w:val="top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636" w:type="dxa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451" w:type="dxa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578" w:type="dxa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其他纪检监察事务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　访汇聚为民办实事经费　</w:t>
            </w:r>
          </w:p>
        </w:tc>
        <w:tc>
          <w:tcPr>
            <w:tcW w:w="550" w:type="dxa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556" w:type="dxa"/>
            <w:gridSpan w:val="2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36" w:type="dxa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550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3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550" w:type="dxa"/>
            <w:vAlign w:val="center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556" w:type="dxa"/>
            <w:gridSpan w:val="2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536" w:type="dxa"/>
          </w:tcPr>
          <w:p>
            <w:pPr>
              <w:widowControl/>
              <w:jc w:val="center"/>
              <w:outlineLvl w:val="1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24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left"/>
        <w:outlineLvl w:val="1"/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</w:pPr>
    </w:p>
    <w:p>
      <w:pPr>
        <w:widowControl/>
        <w:jc w:val="left"/>
        <w:outlineLvl w:val="1"/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</w:pP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  <w:t>填制部门：克孜勒苏柯尔克孜自治州纪委监委       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3.5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</w:pP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  <w:t>填制部门：克孜勒苏柯尔克孜自治州纪委监委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</w:t>
      </w:r>
      <w:r>
        <w:rPr>
          <w:rFonts w:hint="eastAsia" w:ascii="宋体" w:hAnsi="宋体" w:cs="宋体"/>
          <w:i w:val="0"/>
          <w:color w:val="000000"/>
          <w:sz w:val="18"/>
          <w:szCs w:val="18"/>
          <w:u w:val="none"/>
          <w:lang w:eastAsia="zh-CN"/>
        </w:rPr>
        <w:t>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无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sectPr>
          <w:pgSz w:w="11906" w:h="16838"/>
          <w:pgMar w:top="1985" w:right="1531" w:bottom="1701" w:left="1531" w:header="851" w:footer="992" w:gutter="0"/>
          <w:pgNumType w:fmt="numberInDash"/>
          <w:cols w:space="720" w:num="1"/>
          <w:titlePg/>
          <w:docGrid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</w:rPr>
        <w:t>克孜勒苏柯尔克孜自治州纪委监委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没有政府基金预算支出，故此表为空表。</w:t>
      </w:r>
    </w:p>
    <w:p>
      <w:pPr>
        <w:spacing w:line="560" w:lineRule="exact"/>
        <w:ind w:firstLine="1280" w:firstLineChars="4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ascii="黑体" w:hAnsi="黑体" w:eastAsia="黑体"/>
          <w:kern w:val="0"/>
          <w:sz w:val="32"/>
          <w:szCs w:val="32"/>
        </w:rPr>
        <w:t xml:space="preserve">  202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kern w:val="0"/>
          <w:sz w:val="32"/>
          <w:szCs w:val="32"/>
        </w:rPr>
        <w:t>年克州纪委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监委</w:t>
      </w:r>
      <w:r>
        <w:rPr>
          <w:rFonts w:hint="eastAsia" w:ascii="黑体" w:hAnsi="黑体" w:eastAsia="黑体"/>
          <w:kern w:val="0"/>
          <w:sz w:val="32"/>
          <w:szCs w:val="32"/>
        </w:rPr>
        <w:t>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关于克州纪委监委202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按照全口径预算的原则，</w:t>
      </w:r>
      <w:r>
        <w:rPr>
          <w:rFonts w:hint="eastAsia" w:ascii="仿宋" w:hAnsi="仿宋" w:eastAsia="仿宋"/>
          <w:kern w:val="0"/>
          <w:sz w:val="32"/>
          <w:szCs w:val="32"/>
        </w:rPr>
        <w:t>克州纪委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监委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1777.95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收入预算包括：一般公共预算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、政府性基金预算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0万元、国有资金经营预算0万元、上级专项收入17万元。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1777.95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支出预算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其中：一般公共预算支出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（人员经费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1607.83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万元、公用经费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146.12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宋体"/>
          <w:kern w:val="0"/>
          <w:sz w:val="32"/>
          <w:szCs w:val="32"/>
        </w:rPr>
        <w:t>支出</w:t>
      </w:r>
      <w:r>
        <w:rPr>
          <w:rFonts w:ascii="仿宋" w:hAnsi="仿宋" w:eastAsia="仿宋" w:cs="宋体"/>
          <w:kern w:val="0"/>
          <w:sz w:val="32"/>
          <w:szCs w:val="32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上级专项支出17万元。</w:t>
      </w:r>
    </w:p>
    <w:p>
      <w:pPr>
        <w:spacing w:line="560" w:lineRule="exact"/>
        <w:rPr>
          <w:rFonts w:ascii="仿宋" w:hAnsi="仿宋" w:eastAsia="仿宋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二、关于克州纪委监委</w:t>
      </w:r>
      <w:r>
        <w:rPr>
          <w:rFonts w:ascii="黑体" w:hAnsi="宋体" w:eastAsia="黑体" w:cs="宋体"/>
          <w:kern w:val="0"/>
          <w:sz w:val="32"/>
          <w:szCs w:val="32"/>
        </w:rPr>
        <w:t>202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克州纪委监委收入预算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1777.95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一般公共预算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万元，占</w:t>
      </w:r>
      <w:r>
        <w:rPr>
          <w:rFonts w:ascii="仿宋" w:hAnsi="仿宋" w:eastAsia="仿宋" w:cs="宋体"/>
          <w:kern w:val="0"/>
          <w:sz w:val="32"/>
          <w:szCs w:val="32"/>
        </w:rPr>
        <w:t>99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.04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，比上年增加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86.4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万元，主要原因是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年新调入人员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增加人员工资、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经费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也相应增加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上级专项补助收入</w:t>
      </w:r>
      <w:r>
        <w:rPr>
          <w:rFonts w:ascii="仿宋" w:hAnsi="仿宋" w:eastAsia="仿宋" w:cs="宋体"/>
          <w:kern w:val="0"/>
          <w:sz w:val="32"/>
          <w:szCs w:val="32"/>
        </w:rPr>
        <w:t>17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0.96%，根据财政资金绩效管理要求自治区专项为民办实事经费、第一书记经费纳入年初预算；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克州纪委监委</w:t>
      </w:r>
      <w:r>
        <w:rPr>
          <w:rFonts w:hint="eastAsia"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克州纪委监委单位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1777.95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1753.95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80.53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%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，比上年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79.4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万元，主要原因是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纪委</w:t>
      </w:r>
      <w:r>
        <w:rPr>
          <w:rFonts w:hint="eastAsia" w:ascii="仿宋" w:hAnsi="仿宋" w:eastAsia="仿宋" w:cs="宋体"/>
          <w:kern w:val="0"/>
          <w:sz w:val="32"/>
          <w:szCs w:val="32"/>
        </w:rPr>
        <w:t>新调入人员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增加人员工资、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经费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也相应增加。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24万元，占1.1%，比上年预算增加7万元，主要原因是今年增加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工作经费。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四、关于克州纪委监委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年财政拨款收支总预算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收入全部为一般公共预算拨款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万元，无政府性基金预算拨款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和国有资本经营预算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收入</w:t>
      </w:r>
      <w:r>
        <w:rPr>
          <w:rFonts w:hint="eastAsia" w:ascii="仿宋" w:hAnsi="仿宋" w:eastAsia="仿宋" w:cs="宋体"/>
          <w:kern w:val="0"/>
          <w:sz w:val="32"/>
          <w:szCs w:val="32"/>
        </w:rPr>
        <w:t>预算包括：一般公共服务支出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一般公共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预算包括：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一般公共服务支出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万元，主要用于一般公共服务支出。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克州纪委监委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472" w:firstLineChars="147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年一般公共预算拨款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1760.95万元；其中：</w:t>
      </w:r>
      <w:r>
        <w:rPr>
          <w:rFonts w:hint="eastAsia" w:ascii="仿宋" w:hAnsi="仿宋" w:eastAsia="仿宋" w:cs="宋体"/>
          <w:kern w:val="0"/>
          <w:sz w:val="32"/>
          <w:szCs w:val="32"/>
        </w:rPr>
        <w:t>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1753.95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万元，比上年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79.4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4.74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。主要原因是：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年新调入人员，增加人员工资、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经费。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7万元，比上年预算增加7万元增长100%。主要原因是：上年财政预算未安排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工作经费，在2021年增加了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工作经费7万元。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472" w:firstLineChars="147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一般公共服务（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类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万元，占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100 %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</w:rPr>
        <w:t>基本支出：工资福利支出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1517.97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万元、商品和服务支出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46.12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万元、对个人和家庭的补助支出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89.86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．项目支出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0.4%。</w:t>
      </w:r>
    </w:p>
    <w:p>
      <w:pPr>
        <w:spacing w:line="560" w:lineRule="exact"/>
        <w:ind w:firstLine="472" w:firstLineChars="147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．一般公共服务（</w:t>
      </w:r>
      <w:r>
        <w:rPr>
          <w:rFonts w:ascii="仿宋" w:hAnsi="仿宋" w:eastAsia="仿宋" w:cs="宋体"/>
          <w:kern w:val="0"/>
          <w:sz w:val="32"/>
          <w:szCs w:val="32"/>
        </w:rPr>
        <w:t>201</w:t>
      </w:r>
      <w:r>
        <w:rPr>
          <w:rFonts w:hint="eastAsia" w:ascii="仿宋" w:hAnsi="仿宋" w:eastAsia="仿宋" w:cs="宋体"/>
          <w:kern w:val="0"/>
          <w:sz w:val="32"/>
          <w:szCs w:val="32"/>
        </w:rPr>
        <w:t>类）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财政事务</w:t>
      </w: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ascii="仿宋" w:hAnsi="仿宋" w:eastAsia="仿宋" w:cs="宋体"/>
          <w:kern w:val="0"/>
          <w:sz w:val="32"/>
          <w:szCs w:val="32"/>
        </w:rPr>
        <w:t>11</w:t>
      </w:r>
      <w:r>
        <w:rPr>
          <w:rFonts w:hint="eastAsia" w:ascii="仿宋" w:hAnsi="仿宋" w:eastAsia="仿宋" w:cs="宋体"/>
          <w:kern w:val="0"/>
          <w:sz w:val="32"/>
          <w:szCs w:val="32"/>
        </w:rPr>
        <w:t>款）行政运行（</w:t>
      </w:r>
      <w:r>
        <w:rPr>
          <w:rFonts w:ascii="仿宋" w:hAnsi="仿宋" w:eastAsia="仿宋" w:cs="宋体"/>
          <w:kern w:val="0"/>
          <w:sz w:val="32"/>
          <w:szCs w:val="32"/>
        </w:rPr>
        <w:t>01</w:t>
      </w:r>
      <w:r>
        <w:rPr>
          <w:rFonts w:hint="eastAsia" w:ascii="仿宋" w:hAnsi="仿宋" w:eastAsia="仿宋" w:cs="宋体"/>
          <w:kern w:val="0"/>
          <w:sz w:val="32"/>
          <w:szCs w:val="32"/>
        </w:rPr>
        <w:t>项）</w:t>
      </w:r>
      <w:r>
        <w:rPr>
          <w:rFonts w:ascii="仿宋" w:hAnsi="仿宋" w:eastAsia="仿宋" w:cs="宋体"/>
          <w:kern w:val="0"/>
          <w:sz w:val="32"/>
          <w:szCs w:val="32"/>
        </w:rPr>
        <w:t>:202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年预算数为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1760.95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万元，比上年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宋体"/>
          <w:kern w:val="0"/>
          <w:sz w:val="32"/>
          <w:szCs w:val="32"/>
        </w:rPr>
        <w:t>数增加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86.</w:t>
      </w:r>
      <w:r>
        <w:rPr>
          <w:rFonts w:ascii="仿宋" w:hAnsi="仿宋" w:eastAsia="仿宋" w:cs="宋体"/>
          <w:kern w:val="0"/>
          <w:sz w:val="32"/>
          <w:szCs w:val="32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万元，增长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5.16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，主要原因是：</w:t>
      </w:r>
      <w:r>
        <w:rPr>
          <w:rFonts w:ascii="仿宋" w:hAnsi="仿宋" w:eastAsia="仿宋" w:cs="宋体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年新调入人员，增加人员工资、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宋体"/>
          <w:kern w:val="0"/>
          <w:sz w:val="32"/>
          <w:szCs w:val="32"/>
        </w:rPr>
        <w:t>经费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工作经费。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其中：一般公共预算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7万元，比上年预算增加7万元增长100%。主要原因是：上年财政预算未有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工作经费。在2021年预算增加了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工作经费7万元。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克州纪委监委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年一般公共预算基本支出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1753.95万元，其中：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人员经费1607.83万元，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主要包括：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基本工资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468.69万元、</w:t>
      </w:r>
      <w:r>
        <w:rPr>
          <w:rFonts w:hint="eastAsia" w:ascii="仿宋" w:hAnsi="仿宋" w:eastAsia="仿宋" w:cs="宋体"/>
          <w:kern w:val="0"/>
          <w:sz w:val="32"/>
          <w:szCs w:val="32"/>
        </w:rPr>
        <w:t>津贴补贴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36.5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万元、奖金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70.61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万元、机关事业单位基本养老保险缴费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161.33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万元、其他社会保障缴费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90.72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万元、住房公积金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116.26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万元、离休费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27.15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万元、退休费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17.32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万元、生活补助</w:t>
      </w:r>
      <w:r>
        <w:rPr>
          <w:rFonts w:ascii="仿宋" w:hAnsi="仿宋" w:eastAsia="仿宋" w:cs="宋体"/>
          <w:kern w:val="0"/>
          <w:sz w:val="32"/>
          <w:szCs w:val="32"/>
        </w:rPr>
        <w:t>4.1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万元、奖励金</w:t>
      </w:r>
      <w:r>
        <w:rPr>
          <w:rFonts w:ascii="仿宋" w:hAnsi="仿宋" w:eastAsia="仿宋" w:cs="宋体"/>
          <w:kern w:val="0"/>
          <w:sz w:val="32"/>
          <w:szCs w:val="32"/>
        </w:rPr>
        <w:t>0.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万元、其他对个人和家庭的补助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15.12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公用经费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146.12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万元，主要包括：办公费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万元、印刷费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万元、水费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万元、电费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万元、邮电费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万元、取暖费</w:t>
      </w:r>
      <w:r>
        <w:rPr>
          <w:rFonts w:ascii="仿宋" w:hAnsi="仿宋" w:eastAsia="仿宋" w:cs="宋体"/>
          <w:kern w:val="0"/>
          <w:sz w:val="32"/>
          <w:szCs w:val="32"/>
        </w:rPr>
        <w:t>16.87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万元、差旅费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万元、培训费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万元、公务接待费</w:t>
      </w:r>
      <w:r>
        <w:rPr>
          <w:rFonts w:ascii="仿宋" w:hAnsi="仿宋" w:eastAsia="仿宋" w:cs="宋体"/>
          <w:kern w:val="0"/>
          <w:sz w:val="32"/>
          <w:szCs w:val="32"/>
        </w:rPr>
        <w:t>3.5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万元、劳务费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万元、工会经费</w:t>
      </w:r>
      <w:r>
        <w:rPr>
          <w:rFonts w:ascii="仿宋" w:hAnsi="仿宋" w:eastAsia="仿宋" w:cs="宋体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.86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万元、福利费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12.34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万元、公务用车运行维护费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会议费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1万元、维修（护）费3万元、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办公设备购置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12.55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万元等。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克州纪委监委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kern w:val="0"/>
          <w:sz w:val="32"/>
          <w:szCs w:val="32"/>
          <w:lang w:eastAsia="zh-CN"/>
        </w:rPr>
        <w:t>一般公共预算</w:t>
      </w:r>
      <w:r>
        <w:rPr>
          <w:rFonts w:hint="eastAsia" w:ascii="黑体" w:hAnsi="宋体" w:eastAsia="黑体" w:cs="宋体"/>
          <w:kern w:val="0"/>
          <w:sz w:val="32"/>
          <w:szCs w:val="32"/>
        </w:rPr>
        <w:t>项目支出情况说明</w:t>
      </w:r>
    </w:p>
    <w:p>
      <w:p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情况一：项目支出、专项业务费按下列内容说明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、项目名称：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第一书记和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为民办实事工作经费</w:t>
      </w:r>
    </w:p>
    <w:p>
      <w:pPr>
        <w:spacing w:line="560" w:lineRule="exact"/>
        <w:ind w:left="638" w:leftChars="304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自治区、自治州相关会议精神。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预算安排规模：</w:t>
      </w:r>
      <w:r>
        <w:rPr>
          <w:rFonts w:ascii="仿宋" w:hAnsi="仿宋" w:eastAsia="仿宋" w:cs="宋体"/>
          <w:kern w:val="0"/>
          <w:sz w:val="32"/>
          <w:szCs w:val="32"/>
        </w:rPr>
        <w:t>17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项目承担单位：克州纪委监委。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-12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项目名称：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群众</w:t>
      </w:r>
      <w:r>
        <w:rPr>
          <w:rFonts w:hint="eastAsia" w:ascii="仿宋_GB2312" w:hAnsi="黑体" w:eastAsia="仿宋_GB2312"/>
          <w:sz w:val="32"/>
          <w:szCs w:val="32"/>
        </w:rPr>
        <w:t>工作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经费</w:t>
      </w:r>
    </w:p>
    <w:p>
      <w:pPr>
        <w:spacing w:line="560" w:lineRule="exact"/>
        <w:ind w:left="638" w:leftChars="304" w:firstLine="0" w:firstLineChars="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设立的政策依据：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自治区、自治州相关会议精神。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预算安排规模：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项目承担单位：克州纪委监委。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资金分配情况：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财政拨款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资金执行时间：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ascii="仿宋" w:hAnsi="仿宋" w:eastAsia="仿宋" w:cs="宋体"/>
          <w:kern w:val="0"/>
          <w:sz w:val="32"/>
          <w:szCs w:val="32"/>
        </w:rPr>
        <w:t>-12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31日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克州纪委监委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年“三公”经费财政拨款预算数为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15.5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其中：因公出国（境）费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0万元，公务用车购置0万元，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公务用车运行费</w:t>
      </w:r>
      <w:r>
        <w:rPr>
          <w:rFonts w:ascii="仿宋" w:hAnsi="仿宋" w:eastAsia="仿宋" w:cs="宋体"/>
          <w:kern w:val="0"/>
          <w:sz w:val="32"/>
          <w:szCs w:val="32"/>
        </w:rPr>
        <w:t>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万元，公务接待费</w:t>
      </w:r>
      <w:r>
        <w:rPr>
          <w:rFonts w:ascii="仿宋" w:hAnsi="仿宋" w:eastAsia="仿宋" w:cs="宋体"/>
          <w:kern w:val="0"/>
          <w:sz w:val="32"/>
          <w:szCs w:val="32"/>
        </w:rPr>
        <w:t>3.5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年“三公”经费财政拨款预算与上年一样，无变化。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其中：因公出国（境）费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0万元，主要原因是财政预算未安排；公务用车购置0万元，财政未安排预算。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公务用车运行费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与上年预算数持平，主要原因是压缩单位车辆的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开支，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公务接待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与上年预算数持平，主要原因是压缩接待。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九、关于政府性基金预算拨款情况说明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克州纪委监委</w:t>
      </w: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年，克州纪委监委本级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及下属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家行政单位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0家事业单位</w:t>
      </w:r>
      <w:r>
        <w:rPr>
          <w:rFonts w:hint="eastAsia" w:ascii="仿宋" w:hAnsi="仿宋" w:eastAsia="仿宋" w:cs="宋体"/>
          <w:kern w:val="0"/>
          <w:sz w:val="32"/>
          <w:szCs w:val="32"/>
        </w:rPr>
        <w:t>的机关运行经费财政拨款预算</w:t>
      </w:r>
      <w:r>
        <w:rPr>
          <w:rFonts w:ascii="仿宋" w:hAnsi="仿宋" w:eastAsia="仿宋" w:cs="宋体"/>
          <w:kern w:val="0"/>
          <w:sz w:val="32"/>
          <w:szCs w:val="32"/>
        </w:rPr>
        <w:t>14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6.12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万元，比上年预算增加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4.03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万元，增加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2.84</w:t>
      </w:r>
      <w:r>
        <w:rPr>
          <w:rFonts w:ascii="仿宋" w:hAnsi="仿宋" w:eastAsia="仿宋" w:cs="宋体"/>
          <w:kern w:val="0"/>
          <w:sz w:val="32"/>
          <w:szCs w:val="32"/>
        </w:rPr>
        <w:t>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。主要原因是人员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宋体"/>
          <w:kern w:val="0"/>
          <w:sz w:val="32"/>
          <w:szCs w:val="32"/>
        </w:rPr>
        <w:t>增加。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年，克州纪委监委及下属单位政府采购预算</w:t>
      </w:r>
      <w:r>
        <w:rPr>
          <w:rFonts w:ascii="仿宋" w:hAnsi="仿宋" w:eastAsia="仿宋"/>
          <w:sz w:val="32"/>
          <w:szCs w:val="32"/>
        </w:rPr>
        <w:t xml:space="preserve"> 54.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万元，其中：政府采购工程预算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54.55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年度本部门面向中小企业预留政府采购项目预算金额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万元，其中：面向小微企业预留政府采购项目预算金额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560" w:lineRule="exact"/>
        <w:ind w:firstLine="321" w:firstLineChars="1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截至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年底，克州纪委监委及下属各预算单位占用使用国有资产总体情况为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房屋</w:t>
      </w:r>
      <w:r>
        <w:rPr>
          <w:rFonts w:ascii="仿宋" w:hAnsi="仿宋" w:eastAsia="仿宋"/>
          <w:sz w:val="32"/>
          <w:szCs w:val="32"/>
        </w:rPr>
        <w:t>2135</w:t>
      </w:r>
      <w:r>
        <w:rPr>
          <w:rFonts w:hint="eastAsia" w:ascii="仿宋" w:hAnsi="仿宋" w:eastAsia="仿宋"/>
          <w:sz w:val="32"/>
          <w:szCs w:val="32"/>
        </w:rPr>
        <w:t>平方米，价值</w:t>
      </w:r>
      <w:r>
        <w:rPr>
          <w:rFonts w:ascii="仿宋" w:hAnsi="仿宋" w:eastAsia="仿宋"/>
          <w:sz w:val="32"/>
          <w:szCs w:val="32"/>
        </w:rPr>
        <w:t xml:space="preserve"> 81.247566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widowControl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辆，价值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376.75</w:t>
      </w:r>
      <w:r>
        <w:rPr>
          <w:rFonts w:hint="eastAsia" w:ascii="仿宋" w:hAnsi="仿宋" w:eastAsia="仿宋"/>
          <w:sz w:val="32"/>
          <w:szCs w:val="32"/>
        </w:rPr>
        <w:t>万元；其中：一般公务用车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辆，价值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247.15</w:t>
      </w:r>
      <w:r>
        <w:rPr>
          <w:rFonts w:hint="eastAsia" w:ascii="仿宋" w:hAnsi="仿宋" w:eastAsia="仿宋"/>
          <w:sz w:val="32"/>
          <w:szCs w:val="32"/>
        </w:rPr>
        <w:t>万元；执法执勤用车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辆，价值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129.6</w:t>
      </w:r>
      <w:r>
        <w:rPr>
          <w:rFonts w:hint="eastAsia" w:ascii="仿宋" w:hAnsi="仿宋" w:eastAsia="仿宋"/>
          <w:sz w:val="32"/>
          <w:szCs w:val="32"/>
        </w:rPr>
        <w:t>万元；其他车辆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辆，价值</w:t>
      </w:r>
      <w:r>
        <w:rPr>
          <w:rFonts w:ascii="仿宋" w:hAnsi="仿宋" w:eastAsia="仿宋"/>
          <w:sz w:val="32"/>
          <w:szCs w:val="32"/>
        </w:rPr>
        <w:t xml:space="preserve">0 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办公家具价值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237.97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其他资产价值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万元以上大型设备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台（套），单位价值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万元以上大型设备</w:t>
      </w:r>
      <w:r>
        <w:rPr>
          <w:rFonts w:ascii="仿宋" w:hAnsi="仿宋" w:eastAsia="仿宋"/>
          <w:sz w:val="32"/>
          <w:szCs w:val="32"/>
        </w:rPr>
        <w:t xml:space="preserve"> 0 </w:t>
      </w:r>
      <w:r>
        <w:rPr>
          <w:rFonts w:hint="eastAsia" w:ascii="仿宋" w:hAnsi="仿宋" w:eastAsia="仿宋"/>
          <w:sz w:val="32"/>
          <w:szCs w:val="32"/>
        </w:rPr>
        <w:t>台（套）。</w:t>
      </w:r>
    </w:p>
    <w:p>
      <w:pPr>
        <w:pStyle w:val="6"/>
        <w:spacing w:beforeAutospacing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年部门预算未安排购置车辆经费（或安排购置车辆经费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万元），安排购置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万元以上大型设备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台（套），单位价值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万元以上大型设备台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个，涉及预算金额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24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万元。具体情况见下表（按项目分别填报）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克州纪委监委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联建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、通过开展群众工作，加强民主团结，增进民族感情，增进农牧民收入，关心关爱贫困户，帮助解决生活生产的实际困难，凝聚人心，，通过开展群众工作，提升该村基层组织工作能力,改善村委会办公基础条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办公用品购置（万元）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开展慰问、联谊、文体活动次数（万元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车辆维护费（万元）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开展群众工作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(万元）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实施项目日期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2021年12月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购买办公设备批次（次）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default"/>
                <w:sz w:val="20"/>
                <w:szCs w:val="20"/>
                <w:lang w:eastAsia="zh-CN"/>
              </w:rPr>
              <w:t>≥</w:t>
            </w:r>
            <w:r>
              <w:rPr>
                <w:rFonts w:hint="eastAsia"/>
                <w:sz w:val="20"/>
                <w:szCs w:val="20"/>
                <w:lang w:eastAsia="zh-CN"/>
              </w:rPr>
              <w:t>　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开展慰问、联谊、文体活动次数（次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入户走访贫困户覆盖率（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sz w:val="20"/>
                <w:szCs w:val="20"/>
                <w:lang w:val="en-US" w:eastAsia="zh-CN"/>
              </w:rPr>
              <w:t>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资金使用合规率（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/>
                <w:sz w:val="20"/>
                <w:szCs w:val="20"/>
                <w:lang w:eastAsia="zh-CN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丰富村民文化生活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有效提升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为克州稳定和长治久安全力打造和谐稳定的阿扎克村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全力打造和谐稳定美丽的村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保障基层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工作需要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有效保障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0" w:firstLineChars="1200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群众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cs="Arial"/>
              </w:rPr>
              <w:t>≥</w:t>
            </w:r>
            <w:r>
              <w:rPr>
                <w:rFonts w:hint="eastAsia" w:ascii="Arial" w:hAnsi="Arial" w:cs="Arial"/>
                <w:lang w:val="en-US" w:eastAsia="zh-CN"/>
              </w:rPr>
              <w:t>95%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克州纪委监委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17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为民办实事工作经费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中共克孜勒苏柯尔克孜自治州纪律检查委员会开展群众工作，“访惠聚”及驻村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各项工作任务，确保开展群众工作正常开展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积极为农民办实事办好事，深入基层，顺利开展村乡各项工作，帮助群众办好事，办实事，给农村居民带来实惠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慰问总成本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基层建设（万元）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开展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活动支出（万元）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项目完成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年1月-202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基层建设和办实事好事（次）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在开展群众工作点举办各类活动（次）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资金使用合规率（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营造一个欢乐祥和的生活环境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效果显著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提高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农民的生活质量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提高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农民的生活质量，让农民感受党的关怀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群众满意度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≥</w:t>
            </w:r>
            <w:r>
              <w:rPr>
                <w:rFonts w:ascii="宋体" w:hAnsi="宋体"/>
                <w:sz w:val="20"/>
                <w:szCs w:val="20"/>
              </w:rPr>
              <w:t>90%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（五）其他需说明的事项：无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</w:t>
      </w:r>
    </w:p>
    <w:p>
      <w:pPr>
        <w:widowControl/>
        <w:spacing w:line="52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（六）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克州纪委监委办公室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   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E5380"/>
    <w:multiLevelType w:val="singleLevel"/>
    <w:tmpl w:val="E46E538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B2"/>
    <w:rsid w:val="0001010E"/>
    <w:rsid w:val="00010555"/>
    <w:rsid w:val="00012D28"/>
    <w:rsid w:val="00014245"/>
    <w:rsid w:val="0002537D"/>
    <w:rsid w:val="00032AE8"/>
    <w:rsid w:val="000343F0"/>
    <w:rsid w:val="0004638D"/>
    <w:rsid w:val="0005065B"/>
    <w:rsid w:val="000616F0"/>
    <w:rsid w:val="00071422"/>
    <w:rsid w:val="0008295C"/>
    <w:rsid w:val="0008503D"/>
    <w:rsid w:val="00093406"/>
    <w:rsid w:val="000A2AE7"/>
    <w:rsid w:val="000B03CF"/>
    <w:rsid w:val="000B7A44"/>
    <w:rsid w:val="000D56B0"/>
    <w:rsid w:val="000E4F24"/>
    <w:rsid w:val="00106382"/>
    <w:rsid w:val="00110860"/>
    <w:rsid w:val="00113FAC"/>
    <w:rsid w:val="00114DEC"/>
    <w:rsid w:val="00120A86"/>
    <w:rsid w:val="00130E3E"/>
    <w:rsid w:val="001522FB"/>
    <w:rsid w:val="00161892"/>
    <w:rsid w:val="0016777E"/>
    <w:rsid w:val="0017101E"/>
    <w:rsid w:val="00174F8E"/>
    <w:rsid w:val="001930D3"/>
    <w:rsid w:val="001934F0"/>
    <w:rsid w:val="0019658B"/>
    <w:rsid w:val="001A1875"/>
    <w:rsid w:val="001A7C75"/>
    <w:rsid w:val="001B73B0"/>
    <w:rsid w:val="001B77B4"/>
    <w:rsid w:val="001C5450"/>
    <w:rsid w:val="001D726C"/>
    <w:rsid w:val="001E29CB"/>
    <w:rsid w:val="001E418E"/>
    <w:rsid w:val="001F7E5C"/>
    <w:rsid w:val="002150BF"/>
    <w:rsid w:val="00226F4D"/>
    <w:rsid w:val="002274BB"/>
    <w:rsid w:val="0023522E"/>
    <w:rsid w:val="0027703A"/>
    <w:rsid w:val="00280D08"/>
    <w:rsid w:val="002B4D91"/>
    <w:rsid w:val="002C1114"/>
    <w:rsid w:val="002C2E1A"/>
    <w:rsid w:val="002F14C9"/>
    <w:rsid w:val="002F7969"/>
    <w:rsid w:val="00305D05"/>
    <w:rsid w:val="00321ABA"/>
    <w:rsid w:val="00324290"/>
    <w:rsid w:val="00341EA6"/>
    <w:rsid w:val="00356DB2"/>
    <w:rsid w:val="0037434A"/>
    <w:rsid w:val="00387451"/>
    <w:rsid w:val="00393707"/>
    <w:rsid w:val="003C3C4A"/>
    <w:rsid w:val="003D5A08"/>
    <w:rsid w:val="003D7BE6"/>
    <w:rsid w:val="003E0997"/>
    <w:rsid w:val="003F44E0"/>
    <w:rsid w:val="003F4A92"/>
    <w:rsid w:val="004003C7"/>
    <w:rsid w:val="00407C14"/>
    <w:rsid w:val="00412E9E"/>
    <w:rsid w:val="0041474C"/>
    <w:rsid w:val="004245DF"/>
    <w:rsid w:val="004250E3"/>
    <w:rsid w:val="00425DCD"/>
    <w:rsid w:val="00432267"/>
    <w:rsid w:val="00432910"/>
    <w:rsid w:val="004771DD"/>
    <w:rsid w:val="00481CD5"/>
    <w:rsid w:val="004A7CF9"/>
    <w:rsid w:val="004B1757"/>
    <w:rsid w:val="004B1B06"/>
    <w:rsid w:val="004B4276"/>
    <w:rsid w:val="004E36B2"/>
    <w:rsid w:val="005003FD"/>
    <w:rsid w:val="00506C48"/>
    <w:rsid w:val="00532A7B"/>
    <w:rsid w:val="005616A9"/>
    <w:rsid w:val="00580D78"/>
    <w:rsid w:val="00581029"/>
    <w:rsid w:val="005818D0"/>
    <w:rsid w:val="00583F44"/>
    <w:rsid w:val="005A4815"/>
    <w:rsid w:val="005C42E0"/>
    <w:rsid w:val="005C61AF"/>
    <w:rsid w:val="005D72E6"/>
    <w:rsid w:val="0060078C"/>
    <w:rsid w:val="00605EF3"/>
    <w:rsid w:val="00607C9A"/>
    <w:rsid w:val="006122B1"/>
    <w:rsid w:val="006225A0"/>
    <w:rsid w:val="006225E6"/>
    <w:rsid w:val="006244BC"/>
    <w:rsid w:val="00632A29"/>
    <w:rsid w:val="0064194F"/>
    <w:rsid w:val="00643145"/>
    <w:rsid w:val="006508CA"/>
    <w:rsid w:val="006527E0"/>
    <w:rsid w:val="00654E33"/>
    <w:rsid w:val="00664026"/>
    <w:rsid w:val="0066667C"/>
    <w:rsid w:val="00682702"/>
    <w:rsid w:val="00683C12"/>
    <w:rsid w:val="006A7F61"/>
    <w:rsid w:val="006E20CB"/>
    <w:rsid w:val="006E26AF"/>
    <w:rsid w:val="006E3EFD"/>
    <w:rsid w:val="006E6352"/>
    <w:rsid w:val="006F4D8C"/>
    <w:rsid w:val="00723220"/>
    <w:rsid w:val="00751504"/>
    <w:rsid w:val="007641EE"/>
    <w:rsid w:val="00780FCE"/>
    <w:rsid w:val="0079688F"/>
    <w:rsid w:val="007A1EE3"/>
    <w:rsid w:val="007A328F"/>
    <w:rsid w:val="007A34E6"/>
    <w:rsid w:val="00802C3E"/>
    <w:rsid w:val="008160EE"/>
    <w:rsid w:val="00863AEE"/>
    <w:rsid w:val="0089495D"/>
    <w:rsid w:val="008B16CC"/>
    <w:rsid w:val="008B52E4"/>
    <w:rsid w:val="008B588F"/>
    <w:rsid w:val="008C65E5"/>
    <w:rsid w:val="008E4599"/>
    <w:rsid w:val="00900F98"/>
    <w:rsid w:val="00906A98"/>
    <w:rsid w:val="009116E8"/>
    <w:rsid w:val="00914B58"/>
    <w:rsid w:val="00921979"/>
    <w:rsid w:val="009318B8"/>
    <w:rsid w:val="00934B8F"/>
    <w:rsid w:val="0094260C"/>
    <w:rsid w:val="009475BE"/>
    <w:rsid w:val="00951D2B"/>
    <w:rsid w:val="0095211E"/>
    <w:rsid w:val="0095637E"/>
    <w:rsid w:val="00976933"/>
    <w:rsid w:val="009972FC"/>
    <w:rsid w:val="009A4CB8"/>
    <w:rsid w:val="009C05C1"/>
    <w:rsid w:val="009C7AA4"/>
    <w:rsid w:val="009D0AA2"/>
    <w:rsid w:val="009E4219"/>
    <w:rsid w:val="009E4A6B"/>
    <w:rsid w:val="00A2177E"/>
    <w:rsid w:val="00A273C2"/>
    <w:rsid w:val="00A33B81"/>
    <w:rsid w:val="00A41FE6"/>
    <w:rsid w:val="00A474A8"/>
    <w:rsid w:val="00A733C5"/>
    <w:rsid w:val="00A75275"/>
    <w:rsid w:val="00AA2F06"/>
    <w:rsid w:val="00AB3A35"/>
    <w:rsid w:val="00AC7925"/>
    <w:rsid w:val="00AE3FA8"/>
    <w:rsid w:val="00B0630C"/>
    <w:rsid w:val="00B21709"/>
    <w:rsid w:val="00B21E76"/>
    <w:rsid w:val="00B22D8A"/>
    <w:rsid w:val="00B42B68"/>
    <w:rsid w:val="00B75196"/>
    <w:rsid w:val="00B7757F"/>
    <w:rsid w:val="00B9338A"/>
    <w:rsid w:val="00BA74DA"/>
    <w:rsid w:val="00BC36F9"/>
    <w:rsid w:val="00BC64EC"/>
    <w:rsid w:val="00BE6A61"/>
    <w:rsid w:val="00C00760"/>
    <w:rsid w:val="00C00763"/>
    <w:rsid w:val="00C01513"/>
    <w:rsid w:val="00C0480C"/>
    <w:rsid w:val="00C23B71"/>
    <w:rsid w:val="00C4516A"/>
    <w:rsid w:val="00C4702E"/>
    <w:rsid w:val="00C50B3A"/>
    <w:rsid w:val="00C66FE5"/>
    <w:rsid w:val="00C73CE8"/>
    <w:rsid w:val="00CA68BB"/>
    <w:rsid w:val="00CB67B7"/>
    <w:rsid w:val="00CC4EE3"/>
    <w:rsid w:val="00CE109B"/>
    <w:rsid w:val="00CE6326"/>
    <w:rsid w:val="00D06D6F"/>
    <w:rsid w:val="00D07D10"/>
    <w:rsid w:val="00D42B0A"/>
    <w:rsid w:val="00D4754A"/>
    <w:rsid w:val="00D54B02"/>
    <w:rsid w:val="00D77ACA"/>
    <w:rsid w:val="00DA6C62"/>
    <w:rsid w:val="00DC7CCF"/>
    <w:rsid w:val="00DC7D5D"/>
    <w:rsid w:val="00DE7CB1"/>
    <w:rsid w:val="00E048E4"/>
    <w:rsid w:val="00E1553A"/>
    <w:rsid w:val="00E259A1"/>
    <w:rsid w:val="00E32F89"/>
    <w:rsid w:val="00E469CA"/>
    <w:rsid w:val="00E67445"/>
    <w:rsid w:val="00E7167C"/>
    <w:rsid w:val="00E864FB"/>
    <w:rsid w:val="00E9660C"/>
    <w:rsid w:val="00EA4B7F"/>
    <w:rsid w:val="00EC3502"/>
    <w:rsid w:val="00EC4F07"/>
    <w:rsid w:val="00EC50AE"/>
    <w:rsid w:val="00ED0220"/>
    <w:rsid w:val="00ED44EA"/>
    <w:rsid w:val="00ED553E"/>
    <w:rsid w:val="00EE45F8"/>
    <w:rsid w:val="00EE692D"/>
    <w:rsid w:val="00F22A0F"/>
    <w:rsid w:val="00F22DD5"/>
    <w:rsid w:val="00F24460"/>
    <w:rsid w:val="00F32A7E"/>
    <w:rsid w:val="00F457EC"/>
    <w:rsid w:val="00F65B7B"/>
    <w:rsid w:val="00F72924"/>
    <w:rsid w:val="00F94108"/>
    <w:rsid w:val="00FA2725"/>
    <w:rsid w:val="00FB2381"/>
    <w:rsid w:val="00FC3B3B"/>
    <w:rsid w:val="00FD22E0"/>
    <w:rsid w:val="00FD5A5A"/>
    <w:rsid w:val="00FE10B4"/>
    <w:rsid w:val="00FF64E5"/>
    <w:rsid w:val="01404116"/>
    <w:rsid w:val="01697ED3"/>
    <w:rsid w:val="01F51891"/>
    <w:rsid w:val="023335F2"/>
    <w:rsid w:val="0239195A"/>
    <w:rsid w:val="026D6EDA"/>
    <w:rsid w:val="0290146A"/>
    <w:rsid w:val="02AD7A6C"/>
    <w:rsid w:val="02EB1961"/>
    <w:rsid w:val="03332473"/>
    <w:rsid w:val="03A34C41"/>
    <w:rsid w:val="03AE5585"/>
    <w:rsid w:val="03E10CD2"/>
    <w:rsid w:val="03F6064F"/>
    <w:rsid w:val="04087135"/>
    <w:rsid w:val="047138AD"/>
    <w:rsid w:val="04A7111D"/>
    <w:rsid w:val="04AA72FB"/>
    <w:rsid w:val="04C10606"/>
    <w:rsid w:val="056B6E68"/>
    <w:rsid w:val="05896F6C"/>
    <w:rsid w:val="05AC467A"/>
    <w:rsid w:val="061C6C67"/>
    <w:rsid w:val="06210B59"/>
    <w:rsid w:val="062D581E"/>
    <w:rsid w:val="07381AC6"/>
    <w:rsid w:val="074C3AF4"/>
    <w:rsid w:val="078919D2"/>
    <w:rsid w:val="079F3D42"/>
    <w:rsid w:val="07B122A4"/>
    <w:rsid w:val="07B32B71"/>
    <w:rsid w:val="07E3604F"/>
    <w:rsid w:val="084E2D92"/>
    <w:rsid w:val="08B135CD"/>
    <w:rsid w:val="08B91607"/>
    <w:rsid w:val="08BC21C5"/>
    <w:rsid w:val="09392587"/>
    <w:rsid w:val="09436039"/>
    <w:rsid w:val="09C24BF5"/>
    <w:rsid w:val="09C43BD7"/>
    <w:rsid w:val="09C811EA"/>
    <w:rsid w:val="0A37571B"/>
    <w:rsid w:val="0A5A0C00"/>
    <w:rsid w:val="0AFC5C31"/>
    <w:rsid w:val="0BE964CE"/>
    <w:rsid w:val="0C5071A6"/>
    <w:rsid w:val="0D6F6B77"/>
    <w:rsid w:val="0E273760"/>
    <w:rsid w:val="0E5B3727"/>
    <w:rsid w:val="0E5D29BC"/>
    <w:rsid w:val="0E895D2E"/>
    <w:rsid w:val="0F156AF7"/>
    <w:rsid w:val="0F6B5DEE"/>
    <w:rsid w:val="0F851C44"/>
    <w:rsid w:val="100874B1"/>
    <w:rsid w:val="10705A6B"/>
    <w:rsid w:val="10F16FDC"/>
    <w:rsid w:val="11062A1D"/>
    <w:rsid w:val="11CB6CC0"/>
    <w:rsid w:val="125D56DB"/>
    <w:rsid w:val="126F1032"/>
    <w:rsid w:val="12931DD6"/>
    <w:rsid w:val="14895B01"/>
    <w:rsid w:val="14982C5D"/>
    <w:rsid w:val="149B0BAA"/>
    <w:rsid w:val="14E00E55"/>
    <w:rsid w:val="154F746E"/>
    <w:rsid w:val="15C45AAF"/>
    <w:rsid w:val="15CC2A72"/>
    <w:rsid w:val="15F3231E"/>
    <w:rsid w:val="160C0937"/>
    <w:rsid w:val="165C65E4"/>
    <w:rsid w:val="16AD416B"/>
    <w:rsid w:val="17154AA6"/>
    <w:rsid w:val="172B01E0"/>
    <w:rsid w:val="17443E86"/>
    <w:rsid w:val="177167D5"/>
    <w:rsid w:val="1812502C"/>
    <w:rsid w:val="18166E1C"/>
    <w:rsid w:val="185F7EFB"/>
    <w:rsid w:val="18BB4F23"/>
    <w:rsid w:val="19412A30"/>
    <w:rsid w:val="19C06D86"/>
    <w:rsid w:val="19C800DF"/>
    <w:rsid w:val="19ED30D5"/>
    <w:rsid w:val="1A0C52A9"/>
    <w:rsid w:val="1A8B40F0"/>
    <w:rsid w:val="1ADA0405"/>
    <w:rsid w:val="1B031991"/>
    <w:rsid w:val="1B1816E0"/>
    <w:rsid w:val="1B1A1CC8"/>
    <w:rsid w:val="1B1C73FF"/>
    <w:rsid w:val="1BA019EC"/>
    <w:rsid w:val="1C7D1D94"/>
    <w:rsid w:val="1CA56AD0"/>
    <w:rsid w:val="1CB52685"/>
    <w:rsid w:val="1CF040D9"/>
    <w:rsid w:val="1D2B607B"/>
    <w:rsid w:val="1D452805"/>
    <w:rsid w:val="1D74520E"/>
    <w:rsid w:val="1E45752B"/>
    <w:rsid w:val="1E4F3CBC"/>
    <w:rsid w:val="1E9C1065"/>
    <w:rsid w:val="1EE04118"/>
    <w:rsid w:val="1EE07E28"/>
    <w:rsid w:val="1F0A3605"/>
    <w:rsid w:val="1F1E5730"/>
    <w:rsid w:val="1F514769"/>
    <w:rsid w:val="1F7E7078"/>
    <w:rsid w:val="1FA02186"/>
    <w:rsid w:val="1FC37392"/>
    <w:rsid w:val="2060367F"/>
    <w:rsid w:val="209F21C3"/>
    <w:rsid w:val="210B59A6"/>
    <w:rsid w:val="21244ABA"/>
    <w:rsid w:val="21A62D87"/>
    <w:rsid w:val="21D83EB6"/>
    <w:rsid w:val="22492722"/>
    <w:rsid w:val="225867B5"/>
    <w:rsid w:val="225A2AA2"/>
    <w:rsid w:val="22714772"/>
    <w:rsid w:val="228910C3"/>
    <w:rsid w:val="22E5511D"/>
    <w:rsid w:val="22FC46A4"/>
    <w:rsid w:val="234865AC"/>
    <w:rsid w:val="23555205"/>
    <w:rsid w:val="235C3FD4"/>
    <w:rsid w:val="23F22ED6"/>
    <w:rsid w:val="24830BB0"/>
    <w:rsid w:val="2514118D"/>
    <w:rsid w:val="25174362"/>
    <w:rsid w:val="25224138"/>
    <w:rsid w:val="255C67C2"/>
    <w:rsid w:val="259E29D0"/>
    <w:rsid w:val="265E683B"/>
    <w:rsid w:val="26936F70"/>
    <w:rsid w:val="26961993"/>
    <w:rsid w:val="26B93831"/>
    <w:rsid w:val="27635495"/>
    <w:rsid w:val="27871C5D"/>
    <w:rsid w:val="27BF2345"/>
    <w:rsid w:val="27C25829"/>
    <w:rsid w:val="27D3696A"/>
    <w:rsid w:val="27F42B27"/>
    <w:rsid w:val="281B4FC5"/>
    <w:rsid w:val="283B041B"/>
    <w:rsid w:val="286F4245"/>
    <w:rsid w:val="28910535"/>
    <w:rsid w:val="29592759"/>
    <w:rsid w:val="29D11863"/>
    <w:rsid w:val="29D31502"/>
    <w:rsid w:val="29EE2520"/>
    <w:rsid w:val="29FB2A08"/>
    <w:rsid w:val="2A3D5A8A"/>
    <w:rsid w:val="2A4B186A"/>
    <w:rsid w:val="2B2C4072"/>
    <w:rsid w:val="2B2E391D"/>
    <w:rsid w:val="2B383FEF"/>
    <w:rsid w:val="2B544D65"/>
    <w:rsid w:val="2C410CB9"/>
    <w:rsid w:val="2C490B8A"/>
    <w:rsid w:val="2C614A23"/>
    <w:rsid w:val="2D175FE8"/>
    <w:rsid w:val="2D191A08"/>
    <w:rsid w:val="2D3F2E42"/>
    <w:rsid w:val="2D4262A8"/>
    <w:rsid w:val="2D4F307B"/>
    <w:rsid w:val="2D570968"/>
    <w:rsid w:val="2D761F2E"/>
    <w:rsid w:val="2DE94B58"/>
    <w:rsid w:val="2E0A4EF7"/>
    <w:rsid w:val="2E0E006C"/>
    <w:rsid w:val="2E1E6464"/>
    <w:rsid w:val="2E617A8B"/>
    <w:rsid w:val="2E9259B5"/>
    <w:rsid w:val="2ED14106"/>
    <w:rsid w:val="2F6677F5"/>
    <w:rsid w:val="2FEA20D0"/>
    <w:rsid w:val="2FF667D2"/>
    <w:rsid w:val="30310457"/>
    <w:rsid w:val="313A38E7"/>
    <w:rsid w:val="315C5887"/>
    <w:rsid w:val="31A8321B"/>
    <w:rsid w:val="324929C0"/>
    <w:rsid w:val="325A423B"/>
    <w:rsid w:val="32772FB6"/>
    <w:rsid w:val="329905F0"/>
    <w:rsid w:val="334A2219"/>
    <w:rsid w:val="33AD7AE4"/>
    <w:rsid w:val="33D2626A"/>
    <w:rsid w:val="341134E9"/>
    <w:rsid w:val="34D64D2D"/>
    <w:rsid w:val="35030F0F"/>
    <w:rsid w:val="350D6965"/>
    <w:rsid w:val="35811638"/>
    <w:rsid w:val="35873B17"/>
    <w:rsid w:val="359C0E83"/>
    <w:rsid w:val="35D8497A"/>
    <w:rsid w:val="35EB7FB2"/>
    <w:rsid w:val="36605B15"/>
    <w:rsid w:val="36C12A90"/>
    <w:rsid w:val="36DA47D6"/>
    <w:rsid w:val="37427933"/>
    <w:rsid w:val="37595EEE"/>
    <w:rsid w:val="37727646"/>
    <w:rsid w:val="37917305"/>
    <w:rsid w:val="37AC7C15"/>
    <w:rsid w:val="38766A41"/>
    <w:rsid w:val="38F707CF"/>
    <w:rsid w:val="3977240D"/>
    <w:rsid w:val="398C7254"/>
    <w:rsid w:val="3A0103AD"/>
    <w:rsid w:val="3B212713"/>
    <w:rsid w:val="3B9F1BBC"/>
    <w:rsid w:val="3C1B579D"/>
    <w:rsid w:val="3C1F734B"/>
    <w:rsid w:val="3C2C4B42"/>
    <w:rsid w:val="3CDC7CED"/>
    <w:rsid w:val="3CEC01F9"/>
    <w:rsid w:val="3E19526C"/>
    <w:rsid w:val="3EBE6868"/>
    <w:rsid w:val="3ECE34A9"/>
    <w:rsid w:val="3EDB6387"/>
    <w:rsid w:val="3EDF4AFE"/>
    <w:rsid w:val="3F047897"/>
    <w:rsid w:val="3F443C98"/>
    <w:rsid w:val="3F6418E3"/>
    <w:rsid w:val="3FC63107"/>
    <w:rsid w:val="41126E95"/>
    <w:rsid w:val="414E2F1F"/>
    <w:rsid w:val="41710113"/>
    <w:rsid w:val="421F1F54"/>
    <w:rsid w:val="42283862"/>
    <w:rsid w:val="42311D45"/>
    <w:rsid w:val="42457C71"/>
    <w:rsid w:val="426400A6"/>
    <w:rsid w:val="42861AC3"/>
    <w:rsid w:val="42BF3044"/>
    <w:rsid w:val="433B3166"/>
    <w:rsid w:val="43650FD3"/>
    <w:rsid w:val="4386141C"/>
    <w:rsid w:val="439B1CAA"/>
    <w:rsid w:val="439C523D"/>
    <w:rsid w:val="43E2567F"/>
    <w:rsid w:val="440057A7"/>
    <w:rsid w:val="44C2339B"/>
    <w:rsid w:val="44E65A4A"/>
    <w:rsid w:val="451B56AE"/>
    <w:rsid w:val="4557442A"/>
    <w:rsid w:val="4587362D"/>
    <w:rsid w:val="458E5705"/>
    <w:rsid w:val="459B5342"/>
    <w:rsid w:val="45A5504A"/>
    <w:rsid w:val="45F169CA"/>
    <w:rsid w:val="46D53675"/>
    <w:rsid w:val="472F2D75"/>
    <w:rsid w:val="47412201"/>
    <w:rsid w:val="47800B72"/>
    <w:rsid w:val="47990D41"/>
    <w:rsid w:val="47B54E8D"/>
    <w:rsid w:val="47BE0120"/>
    <w:rsid w:val="4851107E"/>
    <w:rsid w:val="48701E76"/>
    <w:rsid w:val="48B031DE"/>
    <w:rsid w:val="48DE78E1"/>
    <w:rsid w:val="4947105C"/>
    <w:rsid w:val="498C7CEA"/>
    <w:rsid w:val="49AD6E3B"/>
    <w:rsid w:val="49E3346E"/>
    <w:rsid w:val="49F60D00"/>
    <w:rsid w:val="4A9F21E8"/>
    <w:rsid w:val="4AA3708C"/>
    <w:rsid w:val="4ADF5EB5"/>
    <w:rsid w:val="4B827CA4"/>
    <w:rsid w:val="4C624A28"/>
    <w:rsid w:val="4C6B7090"/>
    <w:rsid w:val="4C72024F"/>
    <w:rsid w:val="4C78343B"/>
    <w:rsid w:val="4CDA1198"/>
    <w:rsid w:val="4D1622B6"/>
    <w:rsid w:val="4D4F3758"/>
    <w:rsid w:val="4D5D5160"/>
    <w:rsid w:val="4D6B5FF0"/>
    <w:rsid w:val="4DCA770D"/>
    <w:rsid w:val="4DCC3EAC"/>
    <w:rsid w:val="4DFA5157"/>
    <w:rsid w:val="4E161FE8"/>
    <w:rsid w:val="4E1B6526"/>
    <w:rsid w:val="4E1F27CF"/>
    <w:rsid w:val="4E254E3F"/>
    <w:rsid w:val="4E9F5CDF"/>
    <w:rsid w:val="4ED22FC2"/>
    <w:rsid w:val="4EFF5371"/>
    <w:rsid w:val="4F355853"/>
    <w:rsid w:val="4FBA6C58"/>
    <w:rsid w:val="4FDD08D4"/>
    <w:rsid w:val="50025B7B"/>
    <w:rsid w:val="50D844D7"/>
    <w:rsid w:val="51172EE6"/>
    <w:rsid w:val="5177754A"/>
    <w:rsid w:val="518702AA"/>
    <w:rsid w:val="519F1952"/>
    <w:rsid w:val="521E1EE1"/>
    <w:rsid w:val="5264009D"/>
    <w:rsid w:val="52C50C35"/>
    <w:rsid w:val="530555A0"/>
    <w:rsid w:val="531F2100"/>
    <w:rsid w:val="53A72D18"/>
    <w:rsid w:val="53E51C5D"/>
    <w:rsid w:val="53F0339A"/>
    <w:rsid w:val="543E1F6C"/>
    <w:rsid w:val="54746708"/>
    <w:rsid w:val="550E1F30"/>
    <w:rsid w:val="55647D39"/>
    <w:rsid w:val="55882BEC"/>
    <w:rsid w:val="559C0347"/>
    <w:rsid w:val="559E5FC2"/>
    <w:rsid w:val="56567CC1"/>
    <w:rsid w:val="566D5283"/>
    <w:rsid w:val="56EA2298"/>
    <w:rsid w:val="5753629E"/>
    <w:rsid w:val="577B71B8"/>
    <w:rsid w:val="578B21E0"/>
    <w:rsid w:val="57C959D4"/>
    <w:rsid w:val="58622236"/>
    <w:rsid w:val="5878597C"/>
    <w:rsid w:val="5895693C"/>
    <w:rsid w:val="58A1015E"/>
    <w:rsid w:val="58D5647F"/>
    <w:rsid w:val="59023653"/>
    <w:rsid w:val="599D62E4"/>
    <w:rsid w:val="59AA1142"/>
    <w:rsid w:val="59DA3807"/>
    <w:rsid w:val="5A5F14CD"/>
    <w:rsid w:val="5A61164E"/>
    <w:rsid w:val="5A8F109F"/>
    <w:rsid w:val="5A9F4498"/>
    <w:rsid w:val="5AC932F6"/>
    <w:rsid w:val="5BED42D9"/>
    <w:rsid w:val="5C0E4DFD"/>
    <w:rsid w:val="5C57636C"/>
    <w:rsid w:val="5C7F7A3A"/>
    <w:rsid w:val="5CB90298"/>
    <w:rsid w:val="5CE11604"/>
    <w:rsid w:val="5DAE73FC"/>
    <w:rsid w:val="5DF0017D"/>
    <w:rsid w:val="5E5F430C"/>
    <w:rsid w:val="5E8924F3"/>
    <w:rsid w:val="5EA67E56"/>
    <w:rsid w:val="5ED25BB3"/>
    <w:rsid w:val="5ED356F4"/>
    <w:rsid w:val="5EEF1F16"/>
    <w:rsid w:val="5FB606C4"/>
    <w:rsid w:val="5FB8188D"/>
    <w:rsid w:val="600B4981"/>
    <w:rsid w:val="605464D5"/>
    <w:rsid w:val="60A8676F"/>
    <w:rsid w:val="60AB2FE8"/>
    <w:rsid w:val="60EA72FE"/>
    <w:rsid w:val="60F96BC8"/>
    <w:rsid w:val="61DB7D0A"/>
    <w:rsid w:val="62081FD2"/>
    <w:rsid w:val="62692409"/>
    <w:rsid w:val="62753FD0"/>
    <w:rsid w:val="635426D3"/>
    <w:rsid w:val="638D50BD"/>
    <w:rsid w:val="63B44EFC"/>
    <w:rsid w:val="63DE5009"/>
    <w:rsid w:val="64330168"/>
    <w:rsid w:val="64E93A38"/>
    <w:rsid w:val="64F51E60"/>
    <w:rsid w:val="64F82478"/>
    <w:rsid w:val="655031E2"/>
    <w:rsid w:val="65952259"/>
    <w:rsid w:val="65A16B56"/>
    <w:rsid w:val="65C9559B"/>
    <w:rsid w:val="66267C26"/>
    <w:rsid w:val="66355750"/>
    <w:rsid w:val="66E331C9"/>
    <w:rsid w:val="66E7495E"/>
    <w:rsid w:val="67574087"/>
    <w:rsid w:val="68282D9B"/>
    <w:rsid w:val="68600696"/>
    <w:rsid w:val="69390782"/>
    <w:rsid w:val="69C637F7"/>
    <w:rsid w:val="69E434BF"/>
    <w:rsid w:val="69E61B46"/>
    <w:rsid w:val="69F87F86"/>
    <w:rsid w:val="6A0E0FD3"/>
    <w:rsid w:val="6B923DDA"/>
    <w:rsid w:val="6BBB257B"/>
    <w:rsid w:val="6BF80104"/>
    <w:rsid w:val="6C2057F1"/>
    <w:rsid w:val="6C2863F5"/>
    <w:rsid w:val="6C647DD8"/>
    <w:rsid w:val="6C98731A"/>
    <w:rsid w:val="6CBB5D1B"/>
    <w:rsid w:val="6D041087"/>
    <w:rsid w:val="6D563290"/>
    <w:rsid w:val="6DD461BB"/>
    <w:rsid w:val="6DD548E3"/>
    <w:rsid w:val="6DDA6792"/>
    <w:rsid w:val="6F4B02C1"/>
    <w:rsid w:val="6F9352FD"/>
    <w:rsid w:val="702626F4"/>
    <w:rsid w:val="703831EF"/>
    <w:rsid w:val="707F392D"/>
    <w:rsid w:val="709049BE"/>
    <w:rsid w:val="709D612C"/>
    <w:rsid w:val="70D44288"/>
    <w:rsid w:val="70EA4543"/>
    <w:rsid w:val="71056B9E"/>
    <w:rsid w:val="710579F9"/>
    <w:rsid w:val="7135093C"/>
    <w:rsid w:val="71917FB8"/>
    <w:rsid w:val="71AD7B7C"/>
    <w:rsid w:val="71C839BE"/>
    <w:rsid w:val="71DE58FF"/>
    <w:rsid w:val="71E40CD6"/>
    <w:rsid w:val="728D5F69"/>
    <w:rsid w:val="73270561"/>
    <w:rsid w:val="73332AD9"/>
    <w:rsid w:val="73411B55"/>
    <w:rsid w:val="739E0F2F"/>
    <w:rsid w:val="73A07890"/>
    <w:rsid w:val="73D77F25"/>
    <w:rsid w:val="74102220"/>
    <w:rsid w:val="74590C05"/>
    <w:rsid w:val="74703634"/>
    <w:rsid w:val="74C00EBE"/>
    <w:rsid w:val="74F70230"/>
    <w:rsid w:val="753D22FE"/>
    <w:rsid w:val="75A076EC"/>
    <w:rsid w:val="75B30C51"/>
    <w:rsid w:val="75C24535"/>
    <w:rsid w:val="75D36043"/>
    <w:rsid w:val="7653529C"/>
    <w:rsid w:val="766B5946"/>
    <w:rsid w:val="76781D83"/>
    <w:rsid w:val="76974F0A"/>
    <w:rsid w:val="769A037C"/>
    <w:rsid w:val="769E6FD3"/>
    <w:rsid w:val="77740DC4"/>
    <w:rsid w:val="77817522"/>
    <w:rsid w:val="77B5331F"/>
    <w:rsid w:val="77D106AC"/>
    <w:rsid w:val="77E536C0"/>
    <w:rsid w:val="784E1B87"/>
    <w:rsid w:val="788C0D07"/>
    <w:rsid w:val="78A86E6B"/>
    <w:rsid w:val="78A934F9"/>
    <w:rsid w:val="792E114A"/>
    <w:rsid w:val="79A575C8"/>
    <w:rsid w:val="79AF24AE"/>
    <w:rsid w:val="79D67BC7"/>
    <w:rsid w:val="79FD0F48"/>
    <w:rsid w:val="7A7256FD"/>
    <w:rsid w:val="7A93400B"/>
    <w:rsid w:val="7AD565EB"/>
    <w:rsid w:val="7AF17CE8"/>
    <w:rsid w:val="7B5D45EE"/>
    <w:rsid w:val="7B987D44"/>
    <w:rsid w:val="7BF841EE"/>
    <w:rsid w:val="7BFD32C2"/>
    <w:rsid w:val="7C497EFC"/>
    <w:rsid w:val="7CB836CF"/>
    <w:rsid w:val="7D0B5B0C"/>
    <w:rsid w:val="7D5963DF"/>
    <w:rsid w:val="7D736885"/>
    <w:rsid w:val="7DF31285"/>
    <w:rsid w:val="7E0121BD"/>
    <w:rsid w:val="7E280EC9"/>
    <w:rsid w:val="7E2C4B42"/>
    <w:rsid w:val="7E73447C"/>
    <w:rsid w:val="7E7F407F"/>
    <w:rsid w:val="7EE15A12"/>
    <w:rsid w:val="7F003D85"/>
    <w:rsid w:val="7F42318C"/>
    <w:rsid w:val="7F816B3B"/>
    <w:rsid w:val="7FD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7"/>
    <w:qFormat/>
    <w:uiPriority w:val="99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kern w:val="0"/>
      <w:sz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Head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9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f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Balloon Text Char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6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Body Text Indent 3 Char"/>
    <w:basedOn w:val="9"/>
    <w:link w:val="5"/>
    <w:qFormat/>
    <w:locked/>
    <w:uiPriority w:val="99"/>
    <w:rPr>
      <w:rFonts w:ascii="Times New Roman" w:hAnsi="Times New Roman" w:eastAsia="仿宋_GB2312" w:cs="Times New Roman"/>
      <w:sz w:val="24"/>
    </w:rPr>
  </w:style>
  <w:style w:type="character" w:customStyle="1" w:styleId="18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9">
    <w:name w:val="页脚 字符1"/>
    <w:qFormat/>
    <w:uiPriority w:val="99"/>
    <w:rPr>
      <w:rFonts w:ascii="Times New Roman" w:hAnsi="Times New Roman" w:eastAsia="黑体"/>
      <w:snapToGrid w:val="0"/>
      <w:kern w:val="0"/>
      <w:sz w:val="18"/>
    </w:rPr>
  </w:style>
  <w:style w:type="character" w:customStyle="1" w:styleId="20">
    <w:name w:val="页眉 字符1"/>
    <w:qFormat/>
    <w:uiPriority w:val="99"/>
    <w:rPr>
      <w:rFonts w:ascii="Times New Roman" w:hAnsi="Times New Roman" w:eastAsia="宋体"/>
      <w:sz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99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99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99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24</Pages>
  <Words>1618</Words>
  <Characters>9227</Characters>
  <Lines>0</Lines>
  <Paragraphs>0</Paragraphs>
  <TotalTime>849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2021-03-04T03:43:00Z</cp:lastPrinted>
  <dcterms:modified xsi:type="dcterms:W3CDTF">2022-02-18T12:37:27Z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