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both"/>
        <w:outlineLvl w:val="1"/>
        <w:rPr>
          <w:rFonts w:hint="eastAsia" w:ascii="方正小标宋_GBK" w:hAnsi="宋体" w:eastAsia="方正小标宋_GBK"/>
          <w:kern w:val="0"/>
          <w:sz w:val="48"/>
          <w:szCs w:val="48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both"/>
        <w:outlineLvl w:val="1"/>
        <w:rPr>
          <w:rFonts w:hint="eastAsia" w:ascii="方正小标宋_GBK" w:hAnsi="宋体" w:eastAsia="方正小标宋_GBK"/>
          <w:kern w:val="0"/>
          <w:sz w:val="48"/>
          <w:szCs w:val="48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center"/>
        <w:outlineLvl w:val="1"/>
        <w:rPr>
          <w:rFonts w:hint="eastAsia" w:ascii="方正小标宋_GBK" w:hAnsi="宋体" w:eastAsia="方正小标宋_GBK"/>
          <w:kern w:val="0"/>
          <w:sz w:val="48"/>
          <w:szCs w:val="48"/>
          <w:lang w:eastAsia="zh-CN"/>
        </w:rPr>
      </w:pPr>
      <w:r>
        <w:rPr>
          <w:rFonts w:hint="eastAsia" w:ascii="方正小标宋_GBK" w:hAnsi="宋体" w:eastAsia="方正小标宋_GBK"/>
          <w:kern w:val="0"/>
          <w:sz w:val="48"/>
          <w:szCs w:val="48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8"/>
          <w:szCs w:val="48"/>
          <w:lang w:eastAsia="zh-CN"/>
        </w:rPr>
        <w:t>图书馆</w:t>
      </w:r>
    </w:p>
    <w:p>
      <w:pPr>
        <w:widowControl/>
        <w:spacing w:before="100" w:beforeAutospacing="1" w:after="100" w:afterAutospacing="1"/>
        <w:ind w:left="2400" w:hanging="2400" w:hangingChars="500"/>
        <w:jc w:val="center"/>
        <w:outlineLvl w:val="1"/>
        <w:rPr>
          <w:rFonts w:ascii="方正小标宋_GBK" w:hAnsi="宋体" w:eastAsia="方正小标宋_GBK"/>
          <w:kern w:val="0"/>
          <w:sz w:val="48"/>
          <w:szCs w:val="48"/>
        </w:rPr>
      </w:pPr>
      <w:r>
        <w:rPr>
          <w:rFonts w:hint="eastAsia" w:ascii="方正小标宋_GBK" w:hAnsi="宋体" w:eastAsia="方正小标宋_GBK"/>
          <w:kern w:val="0"/>
          <w:sz w:val="48"/>
          <w:szCs w:val="48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8"/>
          <w:szCs w:val="48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4320" w:firstLineChars="1200"/>
        <w:jc w:val="both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ind w:firstLine="1280" w:firstLineChars="4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DotumChe" w:eastAsia="仿宋_GB2312"/>
          <w:color w:val="414141"/>
          <w:sz w:val="32"/>
          <w:szCs w:val="32"/>
        </w:rPr>
        <w:t>（1）保存人类文化遗产。图书馆的产生是保存人类文化遗产的需要。因为有了图书馆，人类的社会实践所取得的经验、文化、知识才得以系统地保存并流传下来，成为今天人类宝贵的文化遗产和精神财富。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2）开展社会教育。近代大工业的产生要求社会人有较多的劳动知识和劳动技能，图书馆从而真正走入平民百姓当中，担负起了对人的科学知识文化教育的任务。现代社会，图书馆成为继续教育的基地，担负了更多的教育职能。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（3） 传递科学情报。传递科学情报是现代图书馆的一个重要职能。图书馆丰富、系统、全面的图书信息资料，成为图书馆从事科学情报传递工作的物质条件。在信息社会，图书馆的科学情报功能将得到加强。</w:t>
      </w:r>
    </w:p>
    <w:p>
      <w:pPr>
        <w:widowControl/>
        <w:spacing w:line="540" w:lineRule="exact"/>
        <w:ind w:firstLine="627" w:firstLineChars="196"/>
        <w:jc w:val="left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（4）开发智力资源。图书馆收藏的图书资料是人类长期积累的一种智力资源，图书馆对这些资源的加工、</w:t>
      </w:r>
      <w:r>
        <w:rPr>
          <w:rFonts w:hint="eastAsia" w:ascii="仿宋_GB2312" w:hAnsi="DotumChe" w:eastAsia="仿宋_GB2312"/>
          <w:color w:val="000000"/>
          <w:sz w:val="32"/>
          <w:szCs w:val="32"/>
        </w:rPr>
        <w:t>处理</w:t>
      </w:r>
      <w:r>
        <w:rPr>
          <w:rFonts w:hint="eastAsia" w:ascii="仿宋_GB2312" w:hAnsi="DotumChe" w:eastAsia="仿宋_GB2312"/>
          <w:color w:val="414141"/>
          <w:sz w:val="32"/>
          <w:szCs w:val="32"/>
        </w:rPr>
        <w:t>是对这种智力资源的开发。同时图书馆将这些图书资料提供利用，是开发图书馆用户的脑力资源。换言之，图书馆承担有人才培养的职能。</w:t>
      </w:r>
    </w:p>
    <w:p>
      <w:pPr>
        <w:widowControl/>
        <w:spacing w:line="540" w:lineRule="exact"/>
        <w:ind w:firstLine="627" w:firstLineChars="196"/>
        <w:jc w:val="left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（5）提供文化娱乐。图书馆提供的服务满足了社会对文化娱乐的需要，丰富和活跃了人民群众的文化生活，在精神文明建设当中起到了不可或缺的作用。</w:t>
      </w:r>
    </w:p>
    <w:p>
      <w:pPr>
        <w:widowControl/>
        <w:spacing w:line="560" w:lineRule="exact"/>
        <w:ind w:firstLine="630" w:firstLineChars="196"/>
        <w:outlineLvl w:val="1"/>
        <w:rPr>
          <w:rFonts w:ascii="仿宋_GB2312" w:hAnsi="DotumChe" w:eastAsia="仿宋_GB2312"/>
          <w:b/>
          <w:color w:val="414141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图书</w:t>
      </w:r>
      <w:r>
        <w:rPr>
          <w:rFonts w:hint="eastAsia" w:ascii="仿宋_GB2312" w:eastAsia="仿宋_GB2312"/>
          <w:color w:val="414141"/>
          <w:sz w:val="32"/>
          <w:szCs w:val="32"/>
        </w:rPr>
        <w:t>馆</w:t>
      </w:r>
      <w:r>
        <w:rPr>
          <w:rFonts w:hint="eastAsia" w:ascii="仿宋_GB2312" w:hAnsi="黑体" w:eastAsia="仿宋_GB2312"/>
          <w:bCs/>
          <w:sz w:val="32"/>
          <w:szCs w:val="32"/>
        </w:rPr>
        <w:t>无下属预算单位，下设0个科室。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图书</w:t>
      </w:r>
      <w:r>
        <w:rPr>
          <w:rFonts w:hint="eastAsia" w:ascii="仿宋_GB2312" w:eastAsia="仿宋_GB2312"/>
          <w:color w:val="414141"/>
          <w:sz w:val="32"/>
          <w:szCs w:val="32"/>
        </w:rPr>
        <w:t>馆</w:t>
      </w:r>
      <w:r>
        <w:rPr>
          <w:rFonts w:hint="eastAsia" w:ascii="仿宋_GB2312" w:eastAsia="仿宋_GB2312"/>
          <w:sz w:val="32"/>
          <w:szCs w:val="32"/>
        </w:rPr>
        <w:t>单位编制数1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，实有人数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人，其中：在职11人，增加0人； 退休1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人，增加0人</w:t>
      </w:r>
      <w:r>
        <w:rPr>
          <w:rFonts w:hint="eastAsia" w:ascii="仿宋_GB2312" w:eastAsia="仿宋_GB2312"/>
          <w:sz w:val="32"/>
          <w:szCs w:val="32"/>
          <w:lang w:eastAsia="zh-CN"/>
        </w:rPr>
        <w:t>，离休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0人，增加0人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1280" w:firstLineChars="4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1280" w:firstLineChars="4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1280" w:firstLineChars="4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1280" w:firstLineChars="4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1280" w:firstLineChars="4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2021年克州图书馆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：克州图书馆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>单位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24"/>
        </w:rPr>
        <w:t>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153.07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153.07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253.07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253.07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10"/>
        <w:tblW w:w="1063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5"/>
        <w:gridCol w:w="975"/>
        <w:gridCol w:w="945"/>
        <w:gridCol w:w="915"/>
        <w:gridCol w:w="840"/>
        <w:gridCol w:w="298"/>
        <w:gridCol w:w="716"/>
        <w:gridCol w:w="524"/>
        <w:gridCol w:w="524"/>
        <w:gridCol w:w="562"/>
        <w:gridCol w:w="562"/>
        <w:gridCol w:w="544"/>
        <w:gridCol w:w="540"/>
        <w:gridCol w:w="642"/>
        <w:gridCol w:w="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253.07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253.07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98"/>
        <w:gridCol w:w="1050"/>
        <w:gridCol w:w="1396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253.07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253.07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其他文化和旅游支出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253.07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153.07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153.07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153.07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153.07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153.07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153.07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153.07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35"/>
        <w:gridCol w:w="1005"/>
        <w:gridCol w:w="1679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克州图书馆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克州图书馆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奖金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机关事业单位基本养老保险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工会费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153.07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5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21"/>
        <w:gridCol w:w="990"/>
        <w:gridCol w:w="1020"/>
        <w:gridCol w:w="1139"/>
        <w:gridCol w:w="660"/>
        <w:gridCol w:w="286"/>
        <w:gridCol w:w="375"/>
        <w:gridCol w:w="584"/>
        <w:gridCol w:w="375"/>
        <w:gridCol w:w="652"/>
        <w:gridCol w:w="225"/>
        <w:gridCol w:w="214"/>
        <w:gridCol w:w="139"/>
        <w:gridCol w:w="419"/>
        <w:gridCol w:w="578"/>
        <w:gridCol w:w="420"/>
        <w:gridCol w:w="420"/>
        <w:gridCol w:w="236"/>
        <w:gridCol w:w="79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3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3" w:type="dxa"/>
          <w:trHeight w:val="420" w:hRule="atLeast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克州图书馆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0" w:hRule="atLeast"/>
        </w:trPr>
        <w:tc>
          <w:tcPr>
            <w:tcW w:w="2739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28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1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其他文化旅游体育与传媒支出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免费开放活动经费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　207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13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其他文化旅游体育与传媒支出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免费开放活动经费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合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计</w:t>
            </w:r>
          </w:p>
        </w:tc>
        <w:tc>
          <w:tcPr>
            <w:tcW w:w="66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28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无三公经费，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故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此表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为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空。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jc w:val="both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无政府性预算支出，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故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此表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为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空</w:t>
      </w:r>
    </w:p>
    <w:p>
      <w:pPr>
        <w:spacing w:line="560" w:lineRule="exact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jc w:val="both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2021年克州图书馆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支出预算包括：文化体育与传媒支出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2021年2人降职处理，工资降低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政府性基金预算未安排。或0万元，占0%，比上年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增加（减少）0万元，主要原因是我单位无政府性基金预算安排的资金；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单位上年结余（不包括国库集中支付额度结余）0万元，占0 %，比上年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万元，主要原因是单位当年预算执行率较高</w:t>
      </w:r>
      <w:r>
        <w:rPr>
          <w:rFonts w:ascii="仿宋_GB2312" w:hAnsi="宋体" w:eastAsia="仿宋_GB2312" w:cs="宋体"/>
          <w:kern w:val="0"/>
          <w:sz w:val="32"/>
          <w:szCs w:val="32"/>
        </w:rPr>
        <w:t>，当年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kern w:val="0"/>
          <w:sz w:val="32"/>
          <w:szCs w:val="32"/>
        </w:rPr>
        <w:t>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2021年2人降职处理，工资降低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结余增加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50万。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153.07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153.07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基本支出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4.92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2021年2人降职处理，工资降低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27.25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37.45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今年结余增加50万元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其他文化和旅游支出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ascii="仿宋_GB2312" w:eastAsia="仿宋_GB2312"/>
          <w:sz w:val="32"/>
          <w:szCs w:val="32"/>
        </w:rPr>
        <w:t>070199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 xml:space="preserve"> 文化体育与传媒支出（2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文化和旅游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1）行政运行（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4）: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2021年2人降职处理，工资降低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150.17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奖金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万元、机关事业单位基本养老保险缴费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万元、其他社会保障缴费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10.41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万元、住房公积金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退休费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9.19万元，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（项目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克州图书馆2020年“三公”经费财政拨款预算数为1万元，其中：因公出国（境）费 0万元，公务用车购置0万元，公务用车运行费1万元，公务接待费0万元。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1万元，其中：因公出国（境）费增加（减少）0万元，主要原因是我单位未安排因公出国人员，未产生因公出国（境）费；公务用车购置费为0，未安排预算。[或公务用车购置费增加（减少）0万元，主要原因是年初预算</w:t>
      </w:r>
      <w:r>
        <w:rPr>
          <w:rFonts w:hint="eastAsia" w:ascii="仿宋_GB2312" w:eastAsia="仿宋_GB2312"/>
          <w:color w:val="414141"/>
          <w:sz w:val="32"/>
          <w:szCs w:val="32"/>
        </w:rPr>
        <w:t>未安排公务用车]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；公务用车运行费增加1万元，主要原因是增加图书馆流动图书车运行费；公务接待费增加（减少）0万元，主要原因是</w:t>
      </w:r>
      <w:r>
        <w:rPr>
          <w:rFonts w:hint="eastAsia" w:ascii="仿宋_GB2312" w:eastAsia="仿宋_GB2312"/>
          <w:sz w:val="32"/>
          <w:szCs w:val="32"/>
        </w:rPr>
        <w:t>克州图书馆属于克州文化体育和旅游局下属单位（科级单位），接待费由上级单位克州文化体育和旅游局承担。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2019年，克州图书馆本级及下属0家行政单位、0家参公管理事业单位和0家事业单位的机关运行经费财政拨款预算2.9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减少办公经费支出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年，克州图书馆及下属单位政府采购预算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 0 万元，其中：面向小微企业预留政府采购项目预算金额 0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截至20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年底，克州图书馆部门及下属各预算单位占用使用国有资产总体情况为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1.房屋1882平方米，价值63万元。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2.车辆1 辆，价值19.50万元；其中：一般公务用车0  辆，价值0万元；执法执勤用车0辆，价值0万元；其他车辆1辆，价值19.50万元。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3.办公家具价值24.66万元。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4.其他资产价值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199.15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  <w:t>.</w:t>
      </w:r>
    </w:p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  <w:bookmarkStart w:id="2" w:name="_GoBack"/>
            <w:bookmarkEnd w:id="2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克州图书馆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克州图书馆无其他需说明的事项。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安排的财政拨款数。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32704C8"/>
    <w:rsid w:val="04030F56"/>
    <w:rsid w:val="04C95467"/>
    <w:rsid w:val="06C01AF1"/>
    <w:rsid w:val="07FD3B8F"/>
    <w:rsid w:val="0B30113A"/>
    <w:rsid w:val="0BAB7159"/>
    <w:rsid w:val="0CBB13A6"/>
    <w:rsid w:val="0CE16ADD"/>
    <w:rsid w:val="0DE65687"/>
    <w:rsid w:val="147D4BE8"/>
    <w:rsid w:val="19DE48FD"/>
    <w:rsid w:val="1A2D72FE"/>
    <w:rsid w:val="1ADB67D3"/>
    <w:rsid w:val="1C620604"/>
    <w:rsid w:val="1CF14B38"/>
    <w:rsid w:val="1EBD0304"/>
    <w:rsid w:val="207149D0"/>
    <w:rsid w:val="22B36771"/>
    <w:rsid w:val="22FE2D86"/>
    <w:rsid w:val="25C03780"/>
    <w:rsid w:val="25CD2AF7"/>
    <w:rsid w:val="2B5A01E9"/>
    <w:rsid w:val="2C0A35B9"/>
    <w:rsid w:val="2E9F2D48"/>
    <w:rsid w:val="3211338E"/>
    <w:rsid w:val="324B476A"/>
    <w:rsid w:val="326121BC"/>
    <w:rsid w:val="335B7FE2"/>
    <w:rsid w:val="34F82859"/>
    <w:rsid w:val="357B31C8"/>
    <w:rsid w:val="357D4C7C"/>
    <w:rsid w:val="36F15778"/>
    <w:rsid w:val="3A355470"/>
    <w:rsid w:val="3F050BBF"/>
    <w:rsid w:val="3F6B32EA"/>
    <w:rsid w:val="405D15DC"/>
    <w:rsid w:val="42813472"/>
    <w:rsid w:val="42AF7730"/>
    <w:rsid w:val="43AE3CB4"/>
    <w:rsid w:val="45A85E22"/>
    <w:rsid w:val="4715049A"/>
    <w:rsid w:val="48410508"/>
    <w:rsid w:val="49F04329"/>
    <w:rsid w:val="4A130A0B"/>
    <w:rsid w:val="4EE514F8"/>
    <w:rsid w:val="55CD5D80"/>
    <w:rsid w:val="55EB5288"/>
    <w:rsid w:val="55ED3C8E"/>
    <w:rsid w:val="574A6218"/>
    <w:rsid w:val="58775FFB"/>
    <w:rsid w:val="5BD6042C"/>
    <w:rsid w:val="5CBB2B8E"/>
    <w:rsid w:val="5CC40363"/>
    <w:rsid w:val="5CD61B5A"/>
    <w:rsid w:val="5CDD44DA"/>
    <w:rsid w:val="5E517892"/>
    <w:rsid w:val="5EFE476C"/>
    <w:rsid w:val="61AC3A9F"/>
    <w:rsid w:val="629C0163"/>
    <w:rsid w:val="63416FC9"/>
    <w:rsid w:val="65A41DEE"/>
    <w:rsid w:val="674527E7"/>
    <w:rsid w:val="6AB85684"/>
    <w:rsid w:val="6B575090"/>
    <w:rsid w:val="6D1F2AF6"/>
    <w:rsid w:val="6D810B28"/>
    <w:rsid w:val="6DBC74D9"/>
    <w:rsid w:val="6E93406C"/>
    <w:rsid w:val="725E2B78"/>
    <w:rsid w:val="73984917"/>
    <w:rsid w:val="74EE4FC5"/>
    <w:rsid w:val="75DE1603"/>
    <w:rsid w:val="77BE7C7A"/>
    <w:rsid w:val="77E668F4"/>
    <w:rsid w:val="7C697CB3"/>
    <w:rsid w:val="7D29532B"/>
    <w:rsid w:val="7DB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4</TotalTime>
  <ScaleCrop>false</ScaleCrop>
  <LinksUpToDate>false</LinksUpToDate>
  <CharactersWithSpaces>16055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2021-03-03T10:05:27Z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