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hint="eastAsia" w:ascii="楷体_GB2312" w:hAnsi="黑体" w:eastAsia="楷体_GB2312"/>
          <w:spacing w:val="-30000"/>
          <w:w w:val="1"/>
          <w:sz w:val="10"/>
          <w:szCs w:val="10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</w:t>
      </w:r>
      <w:bookmarkEnd w:id="1"/>
    </w:p>
    <w:p>
      <w:pPr>
        <w:rPr>
          <w:rFonts w:hint="eastAsia" w:ascii="楷体_GB2312" w:hAnsi="黑体" w:eastAsia="楷体_GB2312"/>
          <w:spacing w:val="-30000"/>
          <w:w w:val="1"/>
          <w:sz w:val="10"/>
          <w:szCs w:val="10"/>
        </w:rPr>
      </w:pPr>
    </w:p>
    <w:p>
      <w:pPr>
        <w:rPr>
          <w:rFonts w:hint="eastAsia" w:ascii="楷体_GB2312" w:hAnsi="黑体" w:eastAsia="楷体_GB2312"/>
          <w:spacing w:val="-30000"/>
          <w:w w:val="1"/>
          <w:sz w:val="10"/>
          <w:szCs w:val="10"/>
        </w:rPr>
      </w:pPr>
    </w:p>
    <w:p>
      <w:pPr>
        <w:rPr>
          <w:rFonts w:hint="eastAsia" w:ascii="楷体_GB2312" w:hAnsi="黑体" w:eastAsia="楷体_GB2312"/>
          <w:spacing w:val="-30000"/>
          <w:w w:val="1"/>
          <w:sz w:val="10"/>
          <w:szCs w:val="10"/>
        </w:rPr>
      </w:pPr>
    </w:p>
    <w:p>
      <w:pPr>
        <w:rPr>
          <w:rFonts w:hint="eastAsia" w:ascii="楷体_GB2312" w:hAnsi="黑体" w:eastAsia="楷体_GB2312"/>
          <w:spacing w:val="-30000"/>
          <w:w w:val="1"/>
          <w:sz w:val="10"/>
          <w:szCs w:val="10"/>
        </w:rPr>
      </w:pPr>
    </w:p>
    <w:p>
      <w:pPr>
        <w:rPr>
          <w:rFonts w:hint="eastAsia" w:ascii="楷体_GB2312" w:hAnsi="黑体" w:eastAsia="楷体_GB2312"/>
          <w:spacing w:val="-30000"/>
          <w:w w:val="1"/>
          <w:sz w:val="10"/>
          <w:szCs w:val="10"/>
        </w:rPr>
      </w:pPr>
    </w:p>
    <w:p>
      <w:pPr>
        <w:rPr>
          <w:rFonts w:hint="eastAsia" w:ascii="楷体_GB2312" w:hAnsi="黑体" w:eastAsia="楷体_GB2312"/>
          <w:spacing w:val="-30000"/>
          <w:w w:val="1"/>
          <w:sz w:val="10"/>
          <w:szCs w:val="10"/>
        </w:rPr>
      </w:pPr>
    </w:p>
    <w:p>
      <w:pPr>
        <w:rPr>
          <w:rFonts w:hint="eastAsia" w:ascii="楷体_GB2312" w:hAnsi="黑体" w:eastAsia="楷体_GB2312"/>
          <w:spacing w:val="-30000"/>
          <w:w w:val="1"/>
          <w:sz w:val="10"/>
          <w:szCs w:val="10"/>
        </w:rPr>
      </w:pPr>
    </w:p>
    <w:p>
      <w:pPr>
        <w:rPr>
          <w:rFonts w:hint="eastAsia" w:ascii="楷体_GB2312" w:hAnsi="黑体" w:eastAsia="楷体_GB2312"/>
          <w:spacing w:val="-30000"/>
          <w:w w:val="1"/>
          <w:sz w:val="10"/>
          <w:szCs w:val="10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农牧业机械技术推广站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部门（单位）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克孜勒苏柯尔克孜自治州农牧业机械技术推广站</w:t>
      </w:r>
      <w:r>
        <w:rPr>
          <w:rFonts w:hint="eastAsia" w:ascii="黑体" w:hAnsi="黑体" w:eastAsia="黑体"/>
          <w:kern w:val="0"/>
          <w:sz w:val="32"/>
          <w:szCs w:val="32"/>
        </w:rPr>
        <w:t>部门（单位）概况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农牧业机械技术推广站主要职能是：编制本地区农牧业机械技术推广工作规划、计划并组织实施；负责新型农机具的引进、试验、示范和推广工作，对适应本地区的农业机械及技术进行试验示范，研究开发，改制改装，组装配套，形成可直接用于生产的农机化新技术；负责农机新成果、新技术、新机具的技术咨询服务，专业技术培训、宣传普及和和推荐等工作；承担农机行政部门和上级推广机构下达的农机化技术推广任务；参与并检查、指导农机技术推广工作。承担自治区、自治州科技兴农实用技术推广项目；负责全州农机行业的农机维修工（初、中级）职业技术培训、考核、鉴定工作，并受理申报相关职业技术鉴定的劳动者或毕（结）业生的职业技术鉴定；负责对农机维修网点及从业人员进行资质审核、登记、发证和年检管理工作。完成自治州人民政府和自治州农机局交办的工作任务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克孜勒苏柯尔克孜自治州农牧业机械技术推广站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单位无下属预算单位，下设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个处室，分别是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办公室、推广室、农机职业技能鉴定所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克孜勒苏柯尔克孜自治州农牧业机械技术推广站单位编制数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编制部门（单位）：克孜勒苏柯尔克孜自治州农牧业机械技术推广站 单位：万元                 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本年收入小计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663.03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本年支出小计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663.03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单位上年结余（不包含国库集中支付额度结余）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663.03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663.03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编制部门（单位）：克孜勒苏柯尔克孜自治州农牧业机械技术推广站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              </w:t>
      </w:r>
    </w:p>
    <w:tbl>
      <w:tblPr>
        <w:tblStyle w:val="7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420"/>
        <w:gridCol w:w="450"/>
        <w:gridCol w:w="1230"/>
        <w:gridCol w:w="885"/>
        <w:gridCol w:w="885"/>
        <w:gridCol w:w="538"/>
        <w:gridCol w:w="709"/>
        <w:gridCol w:w="709"/>
        <w:gridCol w:w="567"/>
        <w:gridCol w:w="567"/>
        <w:gridCol w:w="390"/>
        <w:gridCol w:w="660"/>
        <w:gridCol w:w="765"/>
        <w:gridCol w:w="585"/>
        <w:gridCol w:w="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yellow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yellow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</w:t>
            </w:r>
            <w:bookmarkStart w:id="2" w:name="_GoBack"/>
            <w:bookmarkEnd w:id="2"/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科学技术管理事务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其他科学技术管理事务支出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660.03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626.03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660.03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626.03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事业运行（农业）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612.03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612.03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663.03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34.00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编制部门（单位）：克孜勒苏柯尔克孜自治州农牧业机械技术推广站   单位：万元                                           </w:t>
      </w:r>
    </w:p>
    <w:tbl>
      <w:tblPr>
        <w:tblStyle w:val="7"/>
        <w:tblW w:w="9493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77"/>
        <w:gridCol w:w="435"/>
        <w:gridCol w:w="2405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科学技术管理事务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其他科学技术管理事务支出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612.03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612.03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事业运行（农业）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612.03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612.03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663.03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612.03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jc w:val="lef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</w:rPr>
        <w:t>克孜勒苏柯尔克孜自治州农牧业机械技术推广站</w:t>
      </w:r>
      <w:r>
        <w:rPr>
          <w:rFonts w:hint="eastAsia" w:ascii="仿宋_GB2312" w:hAnsi="宋体" w:eastAsia="仿宋_GB2312"/>
          <w:kern w:val="0"/>
          <w:szCs w:val="21"/>
        </w:rPr>
        <w:t xml:space="preserve">    单位：万元                                                     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110"/>
        <w:gridCol w:w="2595"/>
        <w:gridCol w:w="885"/>
        <w:gridCol w:w="915"/>
        <w:gridCol w:w="87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yellow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yellow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626.03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经营预算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入 小 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626.03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年 支 出 小 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626.03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626.03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入总 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出 总  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ascii="仿宋_GB2312" w:hAnsi="宋体" w:eastAsia="仿宋_GB2312"/>
          <w:b/>
          <w:kern w:val="0"/>
          <w:sz w:val="28"/>
          <w:szCs w:val="32"/>
        </w:rPr>
        <w:br w:type="textWrapping" w:clear="all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克孜勒苏柯尔克孜自治州农牧业机械技术推广站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农林水支出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626.03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612.03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农业农村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626.03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612.03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事业运行（农业）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612.03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612.03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其他农业农村支出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626.03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612.03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14.00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克孜勒苏柯尔克孜自治州农牧业机械技术推广站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210.23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58.16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专用材料费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36.72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655"/>
        <w:gridCol w:w="525"/>
        <w:gridCol w:w="420"/>
        <w:gridCol w:w="1020"/>
        <w:gridCol w:w="870"/>
        <w:gridCol w:w="750"/>
        <w:gridCol w:w="110"/>
        <w:gridCol w:w="459"/>
        <w:gridCol w:w="736"/>
        <w:gridCol w:w="4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克孜勒苏柯尔克孜自治州农牧业机械技术推广站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8" w:type="dxa"/>
            <w:gridSpan w:val="4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020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870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4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6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0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87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4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87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4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群众工作经费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4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452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编制部门（单位）：克孜勒苏柯尔克孜自治州农牧业机械技术推广站</w:t>
      </w:r>
      <w:r>
        <w:rPr>
          <w:rFonts w:hint="eastAsia" w:ascii="仿宋_GB2312" w:hAnsi="宋体" w:eastAsia="仿宋_GB2312"/>
          <w:kern w:val="0"/>
          <w:szCs w:val="21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单位：万元</w:t>
      </w:r>
    </w:p>
    <w:tbl>
      <w:tblPr>
        <w:tblStyle w:val="7"/>
        <w:tblW w:w="0" w:type="auto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3.30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3.30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 克孜勒苏柯尔克孜自治州农牧业机械技术推广站</w:t>
      </w:r>
      <w:r>
        <w:rPr>
          <w:rFonts w:hint="eastAsia" w:ascii="仿宋_GB2312" w:hAnsi="宋体" w:eastAsia="仿宋_GB2312"/>
          <w:kern w:val="0"/>
          <w:szCs w:val="21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 单位：万元                                           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备注：克孜勒苏柯尔克孜自治州农牧业机械技术推广站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2021年末安排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政府性基金预算支出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，故此表为空表。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关于克孜勒苏柯尔克孜自治州农牧业机械技术推广站部门（单位）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按照全口径预算的原则，克孜勒苏柯尔克孜自治州农牧业机械技术推广站部门（单位）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663.03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收入预算包括：一般公共预算626.03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单位其他资金收入3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支出预算包括：科学技术支出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、农林水支出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660.03万元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二、关于克孜勒苏柯尔克孜自治州农牧业机械技术推广站部门（单位）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克孜勒苏柯尔克孜自治州农牧业机械技术推广站部门（单位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）收入预算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663.03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万元，其中：</w:t>
      </w:r>
    </w:p>
    <w:p>
      <w:pPr>
        <w:spacing w:line="56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一般公共预算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626.03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94.42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%，比上年预算减少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42.75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2021年单位减少3人，相对的人员工资、社保、养老、住房等也发生了减少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 xml:space="preserve">；    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 xml:space="preserve">政府性基金预算未安排。 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0"/>
          <w:szCs w:val="30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未安排。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单位其他资金收入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0.45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%，比上年预算增加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在2021年根据业务工作实际，增加科技示范推广项目收入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；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eastAsia="zh-CN"/>
        </w:rPr>
        <w:t>上级专项收入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万元，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占5.13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 xml:space="preserve">%，比上年预算增加 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该项目为延续项目，今年继续开展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群众工作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三、关于克孜勒苏柯尔克孜自治州农牧业机械技术推广站部门（单位）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克孜勒苏柯尔克孜自治州农牧业机械技术推广站部门（单位）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663.03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612.03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92.31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2021年单位减少3人，相对的人员工资、社保、养老、住房等也发生了减少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2021年根据业务工作实际，申请科技示范推广项目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</w:rPr>
        <w:t>克孜勒苏柯尔克孜自治州农牧业机械技术推广站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部门（单位）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626.03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626.03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213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626.03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日常基本支出和项目支出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，其中：基本支出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612.03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万元，主要用于人员经费及日常公用支出如办公费、水费、电费、公务用车运行维护费等；项目支出14万元主要用于开展群众办实事好事，解困、政策宣传及文体活动等工作。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五、关于克孜勒苏柯尔克孜自治州农牧业机械技术推广站部门（单位）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克孜勒苏柯尔克孜自治州农牧业机械技术推广站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部门（单位）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年一般公共预算拨款合计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626.03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612.03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42.75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6.53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2021年单位减少3人，相对的人员工资、社保、养老、住房等也发生了减少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14万元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该项目为延续项目，今年继续开展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群众工作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预算农林水支出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213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楷体_GB2312" w:eastAsia="楷体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626.03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农林水支出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213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农业农村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事业</w:t>
      </w:r>
      <w:r>
        <w:rPr>
          <w:rFonts w:ascii="仿宋_GB2312" w:hAnsi="宋体" w:eastAsia="仿宋_GB2312" w:cs="宋体"/>
          <w:kern w:val="0"/>
          <w:sz w:val="32"/>
          <w:szCs w:val="32"/>
        </w:rPr>
        <w:t>运行（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04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612.03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42.75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6.53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2021年单位减少3人，相对的人员工资、社保、养老、住房等也发生了减少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一般公共预算农林水支出（213）农业农村（01）其他农业农村支出（99）：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2021年预算数为14万元，比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上年预算数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增加0万元，增加0%，主要原因是：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该项目为延续项目，今年继续开展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群众工作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六、关于克孜勒苏柯尔克孜自治州农牧业机械技术推广站部门（单位）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克孜勒苏柯尔克孜自治州农牧业机械技术推广站部门（单位）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612.03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586.3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182.86万元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210.23万元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15.24万元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58.16万元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29.06万元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41.79万元、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退职（役）费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10.14万元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36.72万元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1.03万元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、物业管理费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4.55万元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、专用材料费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4.59万元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七、关于克孜勒苏柯尔克孜自治州农牧业机械技术推广站部门（单位）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群众工作经费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：根</w:t>
      </w:r>
      <w:r>
        <w:rPr>
          <w:rFonts w:ascii="仿宋_GB2312" w:hAnsi="黑体" w:eastAsia="仿宋_GB2312"/>
          <w:sz w:val="32"/>
          <w:szCs w:val="32"/>
        </w:rPr>
        <w:t>据</w:t>
      </w:r>
      <w:r>
        <w:rPr>
          <w:rFonts w:hint="eastAsia" w:ascii="仿宋_GB2312" w:hAnsi="黑体" w:eastAsia="仿宋_GB2312"/>
          <w:sz w:val="32"/>
          <w:szCs w:val="32"/>
        </w:rPr>
        <w:t>党</w:t>
      </w:r>
      <w:r>
        <w:rPr>
          <w:rFonts w:ascii="仿宋_GB2312" w:hAnsi="黑体" w:eastAsia="仿宋_GB2312"/>
          <w:sz w:val="32"/>
          <w:szCs w:val="32"/>
        </w:rPr>
        <w:t>委、政府文件规定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14万元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孜勒苏柯尔克孜自治州农牧业机械技术推广站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：维持工作队日常运转费用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万元、开展各类群众活动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、慰问、</w:t>
      </w:r>
      <w:r>
        <w:rPr>
          <w:rFonts w:hint="eastAsia" w:ascii="仿宋_GB2312" w:hAnsi="黑体" w:eastAsia="仿宋_GB2312"/>
          <w:sz w:val="32"/>
          <w:szCs w:val="32"/>
        </w:rPr>
        <w:t>办实事经费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2020年1月至2020年12月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八、关于克孜勒苏柯尔克孜自治州农牧业机械技术推广站部门（单位）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克孜勒苏柯尔克孜自治州农牧业机械技术推广站部门（单位）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万元，主要原因是未安排预算；公务用车购置费为0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万元，主要原因是合理安排，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同上年公务用车运行费保持一至，主要是在保证业务工作正常有序开展情况下压减支出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九、关于克孜勒苏柯尔克孜自治州农牧业机械技术推广站部门（单位）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克孜勒苏柯尔克孜自治州农牧业机械技术推广站部门（单位）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年，克孜勒苏柯尔克孜自治州农牧业机械技术推广站本级及下属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为了更好的开展农机服务及指导工作，保证单位正常的运转，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2021年财政增加了单位公用经费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年，克孜勒苏柯尔克孜自治州农牧业机械技术推广站部门（单位）政府采购预算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63.95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万元，政府采购工程预算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年度本部门（单位）面向中小企业预留政府采购项目预算金额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年底，克孜勒苏柯尔克孜自治州农牧业机械技术推广站部门（单位）及下属各预算单位占用使用国有资产总体情况为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72.88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年部门（单位）预算未安排购置车辆经费（或安排购置车辆经费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克孜勒苏柯尔克孜自治州农牧业机械技术推广站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群众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14.00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14.00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ind w:firstLine="360" w:firstLineChars="20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根据自治州联建工作方案，联合带领松他克村、帕提阡村两委班子充分发挥联建一体化优势，加强乡村振兴工作，通过深入基层，帮助群众解决实际困难，宣传国家相关政策及法律法规，提高农牧民的生产、生活质量，为农牧民带来实惠等事项，确保群众工作落到实处，取得良好的社会效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慰问、办好事实事次数（次）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办公综合耗材（批次）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群众参与率（%）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慰问、办好事实事（万元）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办公综合耗材（万元）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提高农牧民的幸福感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维护社会稳定和长治久安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受益农牧民的满意度（%）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克孜勒苏柯尔克孜自治州农牧业机械技术推广站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没有其他需说明事项。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numPr>
          <w:ilvl w:val="0"/>
          <w:numId w:val="1"/>
        </w:numPr>
        <w:spacing w:line="520" w:lineRule="exact"/>
        <w:ind w:firstLine="642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单位其他资金收入、上级专项收入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三、其他资金：</w:t>
      </w:r>
      <w:r>
        <w:rPr>
          <w:rFonts w:hint="eastAsia" w:ascii="仿宋_GB2312" w:eastAsia="仿宋_GB2312"/>
          <w:sz w:val="32"/>
          <w:szCs w:val="32"/>
        </w:rPr>
        <w:t>包括</w:t>
      </w:r>
      <w:r>
        <w:rPr>
          <w:rFonts w:hint="eastAsia" w:ascii="仿宋_GB2312" w:eastAsia="仿宋_GB2312"/>
          <w:sz w:val="32"/>
          <w:szCs w:val="32"/>
          <w:lang w:eastAsia="zh-CN"/>
        </w:rPr>
        <w:t>单位其他资金收入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四、基本支出：</w:t>
      </w:r>
      <w:r>
        <w:rPr>
          <w:rFonts w:hint="eastAsia" w:ascii="仿宋_GB2312" w:eastAsia="仿宋_GB2312"/>
          <w:sz w:val="32"/>
          <w:szCs w:val="32"/>
        </w:rPr>
        <w:t>包括人员经费、</w:t>
      </w:r>
      <w:r>
        <w:rPr>
          <w:rFonts w:hint="eastAsia" w:ascii="仿宋_GB2312" w:eastAsia="仿宋_GB2312"/>
          <w:sz w:val="32"/>
          <w:szCs w:val="32"/>
          <w:lang w:eastAsia="zh-CN"/>
        </w:rPr>
        <w:t>公用经费</w:t>
      </w:r>
      <w:r>
        <w:rPr>
          <w:rFonts w:hint="eastAsia" w:ascii="仿宋_GB2312" w:eastAsia="仿宋_GB2312"/>
          <w:sz w:val="32"/>
          <w:szCs w:val="32"/>
        </w:rPr>
        <w:t>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克孜勒苏柯尔克孜自治州农牧业机械技术推广站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92DE"/>
    <w:multiLevelType w:val="singleLevel"/>
    <w:tmpl w:val="69A092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39D295C"/>
    <w:rsid w:val="0C9F2A64"/>
    <w:rsid w:val="1206243F"/>
    <w:rsid w:val="133B5020"/>
    <w:rsid w:val="157A4BD8"/>
    <w:rsid w:val="17785CB6"/>
    <w:rsid w:val="19272DD9"/>
    <w:rsid w:val="240E227D"/>
    <w:rsid w:val="27C83D0F"/>
    <w:rsid w:val="28EB3A92"/>
    <w:rsid w:val="2F517355"/>
    <w:rsid w:val="2FCF11A1"/>
    <w:rsid w:val="324C512E"/>
    <w:rsid w:val="335B0880"/>
    <w:rsid w:val="39DE18AB"/>
    <w:rsid w:val="454D3F2D"/>
    <w:rsid w:val="4DF9567A"/>
    <w:rsid w:val="4E5D13C6"/>
    <w:rsid w:val="583510C0"/>
    <w:rsid w:val="59604BD6"/>
    <w:rsid w:val="63E172AF"/>
    <w:rsid w:val="69191F07"/>
    <w:rsid w:val="6A183317"/>
    <w:rsid w:val="6D9A0A1A"/>
    <w:rsid w:val="702A158D"/>
    <w:rsid w:val="708D30A2"/>
    <w:rsid w:val="77D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4</TotalTime>
  <ScaleCrop>false</ScaleCrop>
  <LinksUpToDate>false</LinksUpToDate>
  <CharactersWithSpaces>16419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cp:lastPrinted>2021-03-02T02:33:21Z</cp:lastPrinted>
  <dcterms:modified xsi:type="dcterms:W3CDTF">2021-03-02T02:33:56Z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