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drawing>
          <wp:inline distT="0" distB="0" distL="114300" distR="114300">
            <wp:extent cx="5645785" cy="7985125"/>
            <wp:effectExtent l="0" t="0" r="12065" b="15875"/>
            <wp:docPr id="1" name="图片 1" descr="公开说明封皮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开说明封皮 0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在克州党委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人民政府的领导下，贯彻执行党的教育方针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政策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法律法规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贯彻执行国家的各项决议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决定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重要工作部署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负责实施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管理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督促检查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全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州的基础教育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幼儿教育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特殊教育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职业技术教育和成人教育工作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负责教师队伍的培养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、继续教育、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管理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职称评定和资格认定工作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负责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州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直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学校教职工的劳动工资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人事档案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系统内人员调整等工作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负责各类师范院校毕业生的分配工作和新增教师的招聘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考试工作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负责机关、学校的党建、党务、廉政、纪检、监察、信访、精神文明、综合治理、政治思想工作。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负责克州籍疆内初中班学生、其他省市高中班、中职班学生的组织、管理工作。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负责教育教学改革和教学研究工作。利用现代化教学手段，不断提高教育质量。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负责教育类招生考试、政审和录取工作。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8、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负责分配、管理克州教育系统的基建和州直学校的经费工作；负责人民教育基金、教育捐款和外资的使用、管理工作；负责全州教育系统的教育事业统计和教育经费统计工作；负责州内中等专业学校招生计划的审批工作；负责州内各级各类学校的布局、结构调整工作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负责全州教育系统的勤工俭学和信息化教育、教学仪器管理和指导工作。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10、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负责教师继续教育作。11、负责对家庭经济困难学生资助工作。12完成克州党委、人民政府交办的其他工作。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克孜勒苏柯尔克孜自治州教育局无下属预算单位，下设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个处室，分别是：办公室、思想政治工作科、计划财务科、教育督导科、人事科。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克孜勒苏柯尔克孜自治州教育局编制数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51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个，实有人数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人，其中：在职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48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人，减少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人。退休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人，增加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人；离休0人，增加0人。</w:t>
      </w:r>
    </w:p>
    <w:p>
      <w:pPr>
        <w:widowControl/>
        <w:spacing w:line="240" w:lineRule="auto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40" w:lineRule="auto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40" w:lineRule="auto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40" w:lineRule="auto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40" w:lineRule="auto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40" w:lineRule="auto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40" w:lineRule="auto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40" w:lineRule="auto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黑体" w:eastAsia="黑体"/>
          <w:kern w:val="0"/>
          <w:sz w:val="32"/>
          <w:szCs w:val="32"/>
        </w:rPr>
        <w:t>预算公开表</w:t>
      </w:r>
    </w:p>
    <w:p>
      <w:pPr>
        <w:widowControl/>
        <w:spacing w:line="240" w:lineRule="auto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40" w:lineRule="auto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1,992.87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842.23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1992.87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1992.87　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24"/>
        </w:rPr>
        <w:t xml:space="preserve">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kern w:val="0"/>
          <w:sz w:val="24"/>
        </w:rPr>
        <w:t xml:space="preserve">  单位：万元</w:t>
      </w:r>
    </w:p>
    <w:tbl>
      <w:tblPr>
        <w:tblStyle w:val="7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483"/>
        <w:gridCol w:w="550"/>
        <w:gridCol w:w="817"/>
        <w:gridCol w:w="1050"/>
        <w:gridCol w:w="1067"/>
        <w:gridCol w:w="424"/>
        <w:gridCol w:w="576"/>
        <w:gridCol w:w="583"/>
        <w:gridCol w:w="450"/>
        <w:gridCol w:w="383"/>
        <w:gridCol w:w="450"/>
        <w:gridCol w:w="834"/>
        <w:gridCol w:w="835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政府性基金预算拨款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财政专户（教育收费）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事业收入</w:t>
            </w: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入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1,992.87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842.23 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教育管理事务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868.44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868.14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行政运行（教育管理事务）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868.44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868.14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其他教育支出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1,124.43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841.93 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其他教育支出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1,124.43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841.93 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1,992.87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842.23 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106.00 </w:t>
            </w: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 xml:space="preserve"> </w:t>
      </w: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40" w:lineRule="auto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1,992.87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868.44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1,124.43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教育管理事务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868.44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868.44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行政运行（教育管理事务）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868.44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868.44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其他教育支出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1,124.43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1,124.43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99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1,124.43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1,124.43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1,992.87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868.44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1,124.43 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1027"/>
        <w:gridCol w:w="1050"/>
        <w:gridCol w:w="80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功  能  分  类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合 计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一般公共预算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204 公共安全支出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168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克孜勒苏柯尔克孜自治州教育局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          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868.14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教育管理事务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868.14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868.14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行政运行（教育管理事务）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868.14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868.14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其他教育支出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99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1,015.64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868.14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克孜勒苏柯尔克孜自治州教育局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218.97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218.97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262.88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262.88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18.25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50.56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31.94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19.39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868.14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766.04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102.10 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 xml:space="preserve"> 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609"/>
        <w:gridCol w:w="533"/>
        <w:gridCol w:w="550"/>
        <w:gridCol w:w="883"/>
        <w:gridCol w:w="1017"/>
        <w:gridCol w:w="933"/>
        <w:gridCol w:w="317"/>
        <w:gridCol w:w="967"/>
        <w:gridCol w:w="250"/>
        <w:gridCol w:w="650"/>
        <w:gridCol w:w="31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70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克孜勒苏柯尔克孜自治州教育局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0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17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2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1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1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1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01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其他教育支出</w:t>
            </w:r>
          </w:p>
        </w:tc>
        <w:tc>
          <w:tcPr>
            <w:tcW w:w="101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99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青少年活动经费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99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教育督导经费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99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教师人才保障经费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99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联建工作经费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99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专业理论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考试经费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99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高考与自学考试经费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99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新疆内高班、疆内初中班经费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205</w:t>
            </w:r>
          </w:p>
        </w:tc>
        <w:tc>
          <w:tcPr>
            <w:tcW w:w="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99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其他教育支出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青少年口语大赛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83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317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147.50 </w:t>
            </w:r>
          </w:p>
        </w:tc>
        <w:tc>
          <w:tcPr>
            <w:tcW w:w="2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25.50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40" w:lineRule="auto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Cs w:val="21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2021年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没有使用政府性基金预算拨款安排的支出，故此表为空表。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年所有收入和支出均纳入部门预算管理。收支总预算1992.87万元。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收入预算包括：一般公共预算1015.64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 政府性基金预算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资金经营预算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单位其他资金收入842.23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支出预算包括：教育支出1992.87万元。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1992.87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1015.64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本年度人员数量比上年减少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单位其他资金收入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842.23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594.72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本年度基建项目已经完工，援疆资金减少。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1992.87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868.44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43.58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1641.43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本年度江苏支教教师经费、援疆资金教师继续教育中心专项资金纳入项目；基建项目已经完工，援疆资金减少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1124.43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950.93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本年度江苏支教教师经费、援疆资金教师继续教育中心专项资金纳入项目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年财政拨款收支总预算1015.64万元。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1015.64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50" w:lineRule="exact"/>
        <w:ind w:firstLine="616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：教育支出1015.64万元，主要用于职工工资、津贴补贴、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社会保障缴费、住房公积金、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教育督导、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青少年活动中心运行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人才保障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、内高班内初班招录、高考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及自学考试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教师专业理论考试、联建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、青少年口语大赛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1015.64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868.14万元，比上年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数873.25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5.11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本年度较上年数人员数量减少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支出147.5万元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26万元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14.99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本年度自治区专项群众工作经费未纳入其中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教育支出（类）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1015.64万元，占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教育支出（类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）教育管理事务（款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:01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）行政运行（项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:01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868.14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873.25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5.11万元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：本年度预算人员数量减少。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教育支出（类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其他教育支出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:99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其他教育支出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（款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:99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147.5万元，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26万元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14.99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本年度自治区专项群众工作经费未纳入其中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868.14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766.04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万元，主要包括：基本工资218.9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、津贴补贴262.88万元、奖金18.2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万元、机关事业单位基本养老保险缴费69.6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万元、其他社会保障缴费49.78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、住房公积金50.56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、退休费31.94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、生活补助19.39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、奖励金3.5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万元、其他对个人和家庭的补助41.04万元。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37.53万元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13.5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3.06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5.51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克州教育局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（一）2019年克州教育局安排项目支出、专项业务费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教育督导经费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教育督导相关政策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教育督导工作开展全过程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项目名称：青少年活动中心经费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设立的政策依据：青少年活动中心设立及运行相关政策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预算安排规模：11.5万元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资金分配情况：青少年活动中心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运行全过程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教师人才保障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教师人才保障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相关政策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预算安排规模：10万元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教师人才保障工作全过程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项目名称：新疆内高班、内初班疆内初中班经费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设立的政策依据：内高班、内初班招录相关政策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预算安排规模：20万元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内学办工作全过程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21年全年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项目名称：高考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及自学考试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设立的政策依据：高考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及自学考试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相关政策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高考及自学考试全过程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全年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项目名称：教师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专业理论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设立的政策依据：教师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专业理论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考试相关政策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预算安排规模：30万元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资金分配情况：教师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专业理论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全过程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联建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联建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工作相关政策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联建工作全过程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年全年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青少年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口语大赛经费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设立的政策依据：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青少年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口语大赛相关政策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预算安排规模：10万元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教育局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青少年口语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大赛开展全过程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资金执行时间：20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年全年</w:t>
      </w:r>
    </w:p>
    <w:p>
      <w:pPr>
        <w:widowControl/>
        <w:spacing w:line="560" w:lineRule="exact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（二）</w:t>
      </w:r>
      <w:r>
        <w:rPr>
          <w:rFonts w:ascii="黑体" w:hAnsi="宋体" w:eastAsia="黑体" w:cs="宋体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年克州教育局安排属于对个人补贴的项目支出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41.5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万元，主要原因是本年度无该项预算；公务用车购置费为0，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预算。公务用车运行费增加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本年度群众工作队加派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辆车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万元，主要原因是我单位本着勤俭节约的原则，坚持“三公经费”只减不增。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家事业单位的机关运行经费财政拨款预算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102.1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万元，比上年预算103.73万元减少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本年度人员数量减少，相应的工会费、福利费下降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251.15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151.15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ascii="仿宋_GB2312" w:hAnsi="宋体" w:eastAsia="仿宋_GB2312" w:cs="宋体"/>
          <w:kern w:val="0"/>
          <w:sz w:val="32"/>
          <w:szCs w:val="32"/>
        </w:rPr>
        <w:t>16661.80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4265.8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仿宋_GB2312" w:eastAsia="仿宋_GB2312"/>
          <w:sz w:val="32"/>
        </w:rPr>
        <w:t>145.05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万元；其中：一般公务用车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仿宋_GB2312" w:eastAsia="仿宋_GB2312"/>
          <w:sz w:val="32"/>
        </w:rPr>
        <w:t>145.05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3870215.8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1673528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:0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预算未安排购置车辆经费，安排购置50万元以上大型设备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147.5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克孜勒苏柯尔克孜自治州教育局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教育督导经费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该项目为教育督导经费，该资金主要用于教育督导工作过程中产生的费用，通过实施该项目，对学校进行教育教学督导，加强学校各项管理，强化教育教学质量，促进教育事业发展。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项目完成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开展督导次数（次）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≥4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督导工作合格率（%）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督导工作完成率（%）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差旅费（万元）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项目效益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提升教育教学质量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促进教育事业全面发展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有效促进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学校满意度（%）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≥93%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克孜勒苏柯尔克孜自治州教育局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青少年活动中心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11.5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11.5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240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该项目为财政拨青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年活动中心经费，该资金主要用于青少年活动中心日常工作维护经费，通过该项目的实施,努力办好我州的青少年校外活动中心,为建设小康社会培养德、智、体、美、劳全面发展的合格人才作出应有的贡献。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项目完成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每周上课天数（天）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参与学生数(人）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≥300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资金使用合规率（%）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劳务费（万元）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项目效益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提高青少年素质教育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有效提高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促进教育事业发展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有效促进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学生满意度（%）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≥91%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家长满意度（%）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≥91%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克孜勒苏柯尔克孜自治州教育局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教师人才保障经费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该项目为州直各学校教师周转房经费，该资金主要用于州直教师周转宿舍产生的房租费，通过该项目的实施为州直教师提供住房保障，减轻教师们生活压力，强化教师队伍，提高教育教学质量。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项目完成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教师周转宿舍数量（间）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资金使用合格率（%）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房租费（万元）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项目效益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优化教师结构，强化教师队伍建设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效果显著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促进教育事业发展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有效促进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学校满意度（%）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克孜勒苏柯尔克孜自治州教育局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新疆内高班、疆内初中班经费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240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该项目为新疆内高班、疆内初中班经费，该资金主要用于内高班、内初班学生考试过程中产生的费用，及假期学生接送过程中产生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的费用，通过该项目的实施让克州的孩子受到更优质的教育，每年组织内高班、内初班考试，将优秀学生送入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其他省市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及北疆享受优质教育。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项目完成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组织内初班考试次数（次）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组织内高班考试次数（次）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组织考试完成率（%）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差旅费（万元）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考务费（万元）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公务用车维护费（万元）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项目效益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保障克州籍优秀学子接受优质教育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促进教育事业发展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有效促进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学生满意度（%）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学校满意度（%）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克孜勒苏柯尔克孜自治州教育局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高考与自学考试经费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该项目为财政拨普通高考招录经费，该资金主要用于普通高考招录工作过程中产生的费用，通过该项目的实施保障高考招录工作顺利进行，促进教育事业发展。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项目完成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高考学生数（人）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≥15000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考务人员数量（人）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资金使用合格率（%）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差旅费（万元）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公务公车维护费（万元）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考务费（万元）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项目效益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保障高考工作顺利进行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促进教育事业发展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有效促进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学生满意度（%）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学校满意度（%）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≥94%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克孜勒苏柯尔克孜自治州教育局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教师专业理论考试经费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240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该项目为教师教育教学能力监测经费，该资金主要用于组织全州中小学（幼儿园）教师教育教学能力监测过程中产生的费用，通过该项目的实施，提高教师国家通用语言文字教学能力，提升教育教学质量。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项目完成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组织考试次数（次）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运送试卷次数（次）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考试合格率（%）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≥85%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组织考试完成率（%）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差旅费（万元）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考务费（万元）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改卷费（万元）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公务用车维护费（万元）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项目效益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提升教师国家通用语言文字教学能力，提高教育教学质量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促进教育事业发展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有效促进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教师满意度（%）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≥90%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克孜勒苏柯尔克孜自治州教育局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联建工作经费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、通过开展群众工作，加强民族团结，增进民族互信，突出现代文化引领，促进宗教和谐，落实民生建设任务，增加农牧民收入，关心关爱贫困户，低保户，特困群体等特殊家庭，帮助解决生产生活中的实际困难，开展精准扶贫、凝聚人心，建立自生动力的传帮带过程。</w:t>
            </w:r>
          </w:p>
          <w:p>
            <w:pPr>
              <w:spacing w:line="240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2、通过开展群众工作，提升该村基层组织工作能力，改善村委会办公基础条件。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项目完成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举行文体活动次数（次）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≥2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工作队日常运行维护次数（次）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≥6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开展慰问困难群众次数（次）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≥3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工作队维护运行维护率（%）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购买办公用品合格率（%）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文体活动参与率（%）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举行文体活动金额（万元）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工作队日常运行维护金额（万元）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开展慰问困难群众次数（万元）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项目效益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改善群众生活状况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有效改善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丰富村民文化生活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有效提高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受益群众工作满意度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≥95%</w:t>
            </w:r>
          </w:p>
        </w:tc>
      </w:tr>
    </w:tbl>
    <w:p>
      <w:pPr>
        <w:spacing w:line="240" w:lineRule="auto"/>
        <w:jc w:val="left"/>
        <w:rPr>
          <w:rFonts w:hint="eastAsia" w:ascii="宋体" w:hAnsi="宋体" w:cs="宋体"/>
          <w:color w:val="000000"/>
          <w:sz w:val="18"/>
          <w:szCs w:val="18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克孜勒苏柯尔克孜自治州教育局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青少年口语大赛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240" w:lineRule="auto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该项目为财政拨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青少年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口语大赛经费，主要用于组织幼儿园及中小学开展语言类比赛活动，通过比赛增强教师及学生学习普通话的积极性，全面提升师生综合素养。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项目完成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组织比赛次数（次）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参加比赛队伍数（组）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组织比赛完成率（%）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资金拨付及时率（%）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办公费（万元）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活动奖励金（万元）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项目效益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提升学生学习使用国家通用语言文字能力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促进教育事业发展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有效促进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学校满意度（%）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学生满意度（%）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≥93%</w:t>
            </w: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2021年预算无其他需说明的事项。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一、财政拨款</w:t>
      </w:r>
      <w:r>
        <w:rPr>
          <w:rFonts w:hint="eastAsia" w:ascii="黑体" w:hAnsi="黑体" w:eastAsia="黑体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  <w:highlight w:val="none"/>
        </w:rPr>
        <w:t>包括公共财</w:t>
      </w:r>
      <w:r>
        <w:rPr>
          <w:rFonts w:hint="eastAsia" w:ascii="仿宋_GB2312" w:eastAsia="仿宋_GB2312"/>
          <w:spacing w:val="-6"/>
          <w:sz w:val="32"/>
          <w:szCs w:val="32"/>
        </w:rPr>
        <w:t>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克孜勒苏柯尔克孜自治州教育局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293EE3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4A33FA9"/>
    <w:rsid w:val="064445CE"/>
    <w:rsid w:val="09471818"/>
    <w:rsid w:val="0B2947B8"/>
    <w:rsid w:val="0BF01DF9"/>
    <w:rsid w:val="0D8C3815"/>
    <w:rsid w:val="15AF3202"/>
    <w:rsid w:val="16A34C0A"/>
    <w:rsid w:val="19002F82"/>
    <w:rsid w:val="1AA75659"/>
    <w:rsid w:val="1B001729"/>
    <w:rsid w:val="1F773E4E"/>
    <w:rsid w:val="20227101"/>
    <w:rsid w:val="20590192"/>
    <w:rsid w:val="20B55554"/>
    <w:rsid w:val="215743FF"/>
    <w:rsid w:val="225A270B"/>
    <w:rsid w:val="22B611E0"/>
    <w:rsid w:val="22BE1892"/>
    <w:rsid w:val="24142DE6"/>
    <w:rsid w:val="3494407B"/>
    <w:rsid w:val="382B77CC"/>
    <w:rsid w:val="38B30D79"/>
    <w:rsid w:val="397A74AD"/>
    <w:rsid w:val="3AC8386D"/>
    <w:rsid w:val="3BFB102B"/>
    <w:rsid w:val="3D29483F"/>
    <w:rsid w:val="3D381CC7"/>
    <w:rsid w:val="3DAC741C"/>
    <w:rsid w:val="3DE00340"/>
    <w:rsid w:val="46A3190C"/>
    <w:rsid w:val="4701569A"/>
    <w:rsid w:val="48F75F0E"/>
    <w:rsid w:val="49D34F25"/>
    <w:rsid w:val="4BBA05E7"/>
    <w:rsid w:val="4BD939DB"/>
    <w:rsid w:val="4C8D5317"/>
    <w:rsid w:val="4D425E9A"/>
    <w:rsid w:val="538D5B77"/>
    <w:rsid w:val="56092180"/>
    <w:rsid w:val="57125FC0"/>
    <w:rsid w:val="5C094559"/>
    <w:rsid w:val="5FB16E5C"/>
    <w:rsid w:val="62247F19"/>
    <w:rsid w:val="63FE021C"/>
    <w:rsid w:val="64DE1EEA"/>
    <w:rsid w:val="65266B87"/>
    <w:rsid w:val="671B3449"/>
    <w:rsid w:val="6A557427"/>
    <w:rsid w:val="6BB63B0B"/>
    <w:rsid w:val="6C4F527F"/>
    <w:rsid w:val="6D620B37"/>
    <w:rsid w:val="6DDA79C4"/>
    <w:rsid w:val="6E0463C6"/>
    <w:rsid w:val="6E8668AF"/>
    <w:rsid w:val="717754B3"/>
    <w:rsid w:val="7533474D"/>
    <w:rsid w:val="77302888"/>
    <w:rsid w:val="788005E2"/>
    <w:rsid w:val="7A172DAA"/>
    <w:rsid w:val="7BA5655C"/>
    <w:rsid w:val="7E6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0</TotalTime>
  <ScaleCrop>false</ScaleCrop>
  <LinksUpToDate>false</LinksUpToDate>
  <CharactersWithSpaces>16419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dcterms:modified xsi:type="dcterms:W3CDTF">2022-02-18T10:40:38Z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BA12197DBE384D399ACE36C4BE3A6A99</vt:lpwstr>
  </property>
</Properties>
</file>