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675" w:firstLineChars="1461"/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喀什经济开发区伊尔克什坦口岸园区管理委员会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2021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4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预算公开表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kern w:val="0"/>
          <w:sz w:val="32"/>
          <w:szCs w:val="32"/>
        </w:rPr>
        <w:t>财政拨款收支总体情况表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一般公共预算基本支出情况表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一般公共预算“三公”经费支出情况表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政府性基金预算支出情况表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年一般公共预算项目支出情况说明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 认真贯彻落实党和国家的路线、方针、政策及自治区重大部署。行使国家、自治区赋予开发区的经济管理和审批权限，突出先行先试，实行制度创新、政策创新和管理体制创新。负责编制园区总体发展规划和各专项发展规划，并组织实施。负责招商引资工作，按规定权限审批、审定、申报各类投资项目。负责园区规划建设，基础设施和公共设施建设管理工作。负责园区财政预决算、国有资产管理、投资、融资工作。根据规定权限负责园区各类进出口行政事务。负责园区干部管理、机构编制、人力资源和社会保障工作。承担与上级相关部门、派驻地政府、部门及相关单位的沟通联系和协调职责。履行园区相应的社会管理和社会服务职能。承办自治区和自治州党委、人民政府、喀什经济开发区交办的其他事项。承担原伊尔克什坦口岸管理委员会履行的各项职能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5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单位无下属预算单位，下设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个处室，分别是：党政办公室、发展改革和经济促进局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财政局金融服务办公室）、规划土地建设环保局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/>
          <w:kern w:val="0"/>
          <w:sz w:val="32"/>
          <w:szCs w:val="32"/>
        </w:rPr>
        <w:t>年预算公开表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收支总体情况表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编制部门（单位）：喀什经济开发区伊尔克什坦口岸园区管理委员会              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667.82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857.50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667.82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60" w:firstLineChars="20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182.68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7.00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857.50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857.50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编制部门（单位）：喀什经济开发区伊尔克什坦口岸园区管理委员会                                               单位：万元</w:t>
      </w:r>
    </w:p>
    <w:tbl>
      <w:tblPr>
        <w:tblStyle w:val="7"/>
        <w:tblW w:w="10011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"/>
        <w:gridCol w:w="331"/>
        <w:gridCol w:w="331"/>
        <w:gridCol w:w="1295"/>
        <w:gridCol w:w="992"/>
        <w:gridCol w:w="851"/>
        <w:gridCol w:w="449"/>
        <w:gridCol w:w="672"/>
        <w:gridCol w:w="595"/>
        <w:gridCol w:w="453"/>
        <w:gridCol w:w="543"/>
        <w:gridCol w:w="452"/>
        <w:gridCol w:w="828"/>
        <w:gridCol w:w="711"/>
        <w:gridCol w:w="556"/>
        <w:gridCol w:w="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级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补助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收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入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上级专项收入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单位上年结余（不包含国库集中支付额度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857.50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667.82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182.68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7.00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政府办公厅（室）及相关机构事务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857.50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667.82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182.68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7.00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其他政府办公厅（室）及相关机构事务支出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12.00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5.00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7.00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行政运行（政府办公厅（室）及相关机构事务）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845.50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662.82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182.68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857.5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667.82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182.68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7.00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支出总体情况表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编制部门（单位）：喀什经济开发区伊尔克什坦口岸园区管理委员会             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388"/>
        <w:gridCol w:w="400"/>
        <w:gridCol w:w="2539"/>
        <w:gridCol w:w="1855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857.50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845.50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12.00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政府办公厅（室）及相关机构事务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857.50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845.50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其他政府办公厅（室）及相关机构事务支出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12.00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行政运行（政府办公厅（室）及相关机构事务）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845.50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845.50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857.50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845.50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300" w:lineRule="exact"/>
        <w:textAlignment w:val="auto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300" w:lineRule="exact"/>
        <w:textAlignment w:val="auto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300" w:lineRule="exact"/>
        <w:jc w:val="center"/>
        <w:textAlignment w:val="auto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</w:rPr>
        <w:t xml:space="preserve">喀什经济开发区伊尔克什坦口岸园区管理委员会 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                                   单位：万元</w:t>
      </w:r>
    </w:p>
    <w:tbl>
      <w:tblPr>
        <w:tblStyle w:val="7"/>
        <w:tblpPr w:leftFromText="180" w:rightFromText="180" w:vertAnchor="text" w:tblpY="1"/>
        <w:tblOverlap w:val="never"/>
        <w:tblW w:w="94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055"/>
        <w:gridCol w:w="2580"/>
        <w:gridCol w:w="901"/>
        <w:gridCol w:w="850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一、财政拨款（补助）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val="en-US" w:eastAsia="zh-CN"/>
              </w:rPr>
              <w:t>667.82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667.82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667.82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val="en-US" w:eastAsia="zh-CN"/>
              </w:rPr>
              <w:t>667.82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与计划生育支出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val="en-US" w:eastAsia="zh-CN"/>
              </w:rPr>
              <w:t>667.82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667.82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667.82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ascii="仿宋_GB2312" w:hAnsi="宋体" w:eastAsia="仿宋_GB2312"/>
          <w:b/>
          <w:kern w:val="0"/>
          <w:sz w:val="28"/>
          <w:szCs w:val="32"/>
        </w:rPr>
        <w:br w:type="textWrapping" w:clear="all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喀什经济开发区伊尔克什坦口岸园区管理委员会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667.82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662.82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政府办公厅（室）及相关机构事务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667.82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其他政府办公厅（室）及相关机构事务支出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662.82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行政运行（政府办公厅（室）及相关机构事务）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667.82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喀什经济开发区伊尔克什坦口岸园区管理委员会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148.56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148.56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282.85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47" w:rightChars="7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282.85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64.56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64.56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46.93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46.93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662.82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634.98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27.84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447"/>
        <w:gridCol w:w="401"/>
        <w:gridCol w:w="388"/>
        <w:gridCol w:w="798"/>
        <w:gridCol w:w="1456"/>
        <w:gridCol w:w="750"/>
        <w:gridCol w:w="110"/>
        <w:gridCol w:w="459"/>
        <w:gridCol w:w="669"/>
        <w:gridCol w:w="519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喀什经济开发区伊尔克什坦口岸园区管理委员会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4" w:type="dxa"/>
            <w:gridSpan w:val="4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798" w:type="dxa"/>
            <w:vMerge w:val="restart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6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5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45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0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79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5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201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eastAsia="zh-CN"/>
              </w:rPr>
              <w:t>一般公共服务支出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5.00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669" w:type="dxa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5.00</w:t>
            </w:r>
          </w:p>
        </w:tc>
        <w:tc>
          <w:tcPr>
            <w:tcW w:w="5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5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201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40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03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38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sz w:val="15"/>
                <w:szCs w:val="15"/>
                <w:lang w:eastAsia="zh-CN"/>
              </w:rPr>
              <w:t>政府办公厅（室）及相关机构事务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5.00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669" w:type="dxa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5.00</w:t>
            </w:r>
          </w:p>
        </w:tc>
        <w:tc>
          <w:tcPr>
            <w:tcW w:w="5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5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201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40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03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388" w:type="dxa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99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sz w:val="15"/>
                <w:szCs w:val="15"/>
                <w:lang w:eastAsia="zh-CN"/>
              </w:rPr>
              <w:t>其他政府办公厅（室）及相关机构事务支出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  <w:t>联建点工作经费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5.00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669" w:type="dxa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5.00</w:t>
            </w:r>
          </w:p>
        </w:tc>
        <w:tc>
          <w:tcPr>
            <w:tcW w:w="5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5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5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5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5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5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5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5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0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9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5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5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5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5.00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669" w:type="dxa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  <w:lang w:val="en-US" w:eastAsia="zh-CN"/>
              </w:rPr>
              <w:t>5.00</w:t>
            </w:r>
          </w:p>
        </w:tc>
        <w:tc>
          <w:tcPr>
            <w:tcW w:w="5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编制部门（单位）：喀什经济开发区伊尔克什坦口岸园区管理委员会          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备注：喀什经济开发区伊尔克什坦口岸园区管理委员会无一般公共预算“三公”经费支出情况内容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本表为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空表。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编制部门（单位）：喀什经济开发区伊尔克什坦口岸园区管理委员会           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备注：喀什经济开发区伊尔克什坦口岸园区管理委员会无政府性基金预算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拨款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情况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说明支出本表为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空表。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/>
          <w:kern w:val="0"/>
          <w:sz w:val="32"/>
          <w:szCs w:val="32"/>
        </w:rPr>
        <w:t>年预算情况说明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关于喀什经济开发区伊尔克什坦口岸园区管理委员会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按照全口径预算的原则，喀什经济开发区伊尔克什坦口岸园区管理委员会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857.5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收入预算包括：一般公共预算、单位其他资金收入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、上级专项收入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二、关于喀什经济开发区伊尔克什坦口岸园区管理委员会）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喀什经济开发区伊尔克什坦口岸园区管理委员会收入预算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857.5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667.82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人员工资增加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单位其他资金收入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182.68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65.52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其他收入政府采购减少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857.5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845.5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其他收入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无变动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667.82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收入全部为一般公共预算拨款，无政府性基金预算拨款和国有资本经营预算。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667.82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一般公共预算支出包括：一般公共服务支出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667.82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人员经费及公用经费支出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eastAsia="zh-CN"/>
        </w:rPr>
        <w:t>年一般公共预算拨款合计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667.82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eastAsia="zh-CN"/>
        </w:rPr>
        <w:t>万元，其中：基本支出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662.82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eastAsia="zh-CN"/>
        </w:rPr>
        <w:t>万元，比上年预算增加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13.94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eastAsia="zh-CN"/>
        </w:rPr>
        <w:t>万元，增长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eastAsia="zh-CN"/>
        </w:rPr>
        <w:t>%。主要原因是：人员工资增加。项目支出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eastAsia="zh-CN"/>
        </w:rPr>
        <w:t>万元，比上年预算增加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eastAsia="zh-CN"/>
        </w:rPr>
        <w:t>万元，增长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eastAsia="zh-CN"/>
        </w:rPr>
        <w:t>%。主要原因是：无变化。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</w:t>
      </w:r>
      <w:r>
        <w:rPr>
          <w:rFonts w:hint="eastAsia" w:ascii="仿宋_GB2312" w:eastAsia="仿宋_GB2312"/>
          <w:sz w:val="32"/>
          <w:szCs w:val="32"/>
        </w:rPr>
        <w:t>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667.82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政府办公厅（室）及相关事务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）行政运行（项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662.82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人员工资增加。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政府办公厅（室）及相关事务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03</w:t>
      </w:r>
      <w:r>
        <w:rPr>
          <w:rFonts w:ascii="仿宋_GB2312" w:hAnsi="宋体" w:eastAsia="仿宋_GB2312" w:cs="宋体"/>
          <w:kern w:val="0"/>
          <w:sz w:val="32"/>
          <w:szCs w:val="32"/>
        </w:rPr>
        <w:t>款）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其他政府办公厅（室）及相关机构事务支出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</w:t>
      </w:r>
      <w:r>
        <w:rPr>
          <w:rFonts w:ascii="仿宋_GB2312" w:hAnsi="宋体" w:eastAsia="仿宋_GB2312" w:cs="宋体"/>
          <w:kern w:val="0"/>
          <w:sz w:val="32"/>
          <w:szCs w:val="32"/>
        </w:rPr>
        <w:t>项）: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年预算数为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预算增加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增长）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%，主要原因是：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662.82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634.98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万元，主要包括：基本工资、津贴补贴、奖金、机关事业单位基本养老保险缴费、其他社会保障缴费、住房公积金、退休费、生活补助、奖励金、其他对个人和家庭的补助。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万元，主要包括：办公费、水费、电费、工会经费、福利费。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项目</w:t>
      </w:r>
      <w:r>
        <w:rPr>
          <w:rFonts w:hint="eastAsia" w:ascii="仿宋_GB2312" w:hAnsi="黑体" w:eastAsia="仿宋_GB2312"/>
          <w:b/>
          <w:sz w:val="32"/>
          <w:szCs w:val="32"/>
        </w:rPr>
        <w:t>一：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联建工作组经费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：领导批示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5万元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喀什经济开发区伊尔克什坦口岸园区管理委员会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额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ascii="仿宋_GB2312" w:hAnsi="宋体" w:eastAsia="仿宋_GB2312"/>
          <w:b/>
          <w:sz w:val="32"/>
          <w:szCs w:val="22"/>
        </w:rPr>
        <w:t>属于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按下列内容说明）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万元，主要原因是未安排预算；公务用车购置费为0，未安排预算。公务用车运行费增加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 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182.68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115.36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67.32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2021</w:t>
      </w:r>
      <w:r>
        <w:rPr>
          <w:rFonts w:hint="eastAsia" w:ascii="仿宋_GB2312" w:hAnsi="仿宋_GB2312" w:eastAsia="仿宋_GB2312"/>
          <w:sz w:val="32"/>
        </w:rPr>
        <w:t>年度本部门（单位）面向中小企业预留政府采购项目预算金额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9838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901.69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258.63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5306.83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年部门（单位）预算未安排购置车辆经费（或安排购置车辆经费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年度，本年度实行绩效管理的一般公共预算项目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7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52"/>
        <w:gridCol w:w="1224"/>
        <w:gridCol w:w="1476"/>
        <w:gridCol w:w="1039"/>
        <w:gridCol w:w="1481"/>
        <w:gridCol w:w="11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（2021年）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喀什经济开发区伊尔克什坦口岸园区管理委员会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联建工作经费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该项目资金预计主要用于上阿图什镇铁提尔村群众办实事好事、解决困难家庭实际困难、开展群众工作购买实物，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联建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点购办公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设备等，通过该项目的实施及时有效的缓解了困难家庭的燃眉之急，解决其生产生活、子女上学等方面的困难。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办理实事好事数量（件）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开展群众活动次数（次）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资金使用合规率（%）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开展工作所需经费（万元）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提升公共服务能力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有效提升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满足基层日常工作需要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效果显著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受益群众满意度（%）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p>
      <w:pPr>
        <w:widowControl/>
        <w:spacing w:line="48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320" w:firstLineChars="1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喀什经济开发区伊尔克什坦口岸园区管理委员会无其他说明事项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pacing w:val="-6"/>
          <w:sz w:val="32"/>
          <w:szCs w:val="32"/>
        </w:rPr>
        <w:t>指由一般公共预算、政府性基金预算、国有资本经营预算安排的财政拨款数。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、其他资金：</w:t>
      </w:r>
      <w:r>
        <w:rPr>
          <w:rFonts w:hint="eastAsia" w:ascii="仿宋_GB2312" w:eastAsia="仿宋_GB2312"/>
          <w:sz w:val="32"/>
          <w:szCs w:val="32"/>
        </w:rPr>
        <w:t>包括其他收入等。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部门（单位）支出预算的组成部分，是自治区本级部门（单位）为完成其特定的行政任务或事业发展目标，在基本支出预算之外编制的年度项目支出计划。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自治州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喀什经济开发区伊尔克什坦口岸园区管理委员会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2月5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2041" w:right="1276" w:bottom="2041" w:left="1276" w:header="851" w:footer="1814" w:gutter="0"/>
      <w:pgNumType w:fmt="numberInDash"/>
      <w:cols w:space="720" w:num="1"/>
      <w:docGrid w:type="lines" w:linePitch="43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631" w:y="37"/>
      <w:jc w:val="right"/>
      <w:rPr>
        <w:rStyle w:val="11"/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Style w:val="11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11"/>
        <w:rFonts w:ascii="宋体" w:hAnsi="宋体" w:eastAsia="宋体"/>
        <w:sz w:val="28"/>
      </w:rPr>
      <w:t>- 33 -</w:t>
    </w:r>
    <w:r>
      <w:rPr>
        <w:rFonts w:ascii="宋体" w:hAnsi="宋体" w:eastAsia="宋体"/>
        <w:sz w:val="28"/>
      </w:rPr>
      <w:fldChar w:fldCharType="end"/>
    </w:r>
    <w:r>
      <w:rPr>
        <w:rStyle w:val="11"/>
        <w:rFonts w:hint="eastAsia" w:ascii="宋体" w:hAnsi="宋体" w:eastAsia="宋体"/>
        <w:sz w:val="28"/>
      </w:rPr>
      <w:t xml:space="preserve"> </w:t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756" w:y="37"/>
      <w:rPr>
        <w:rStyle w:val="11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- 34 -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BF"/>
    <w:rsid w:val="00054ABF"/>
    <w:rsid w:val="0009522A"/>
    <w:rsid w:val="000C2AA9"/>
    <w:rsid w:val="00121764"/>
    <w:rsid w:val="001662FE"/>
    <w:rsid w:val="00172C01"/>
    <w:rsid w:val="00186398"/>
    <w:rsid w:val="001D3009"/>
    <w:rsid w:val="002166BA"/>
    <w:rsid w:val="00324290"/>
    <w:rsid w:val="00396814"/>
    <w:rsid w:val="003B4B5F"/>
    <w:rsid w:val="003C61E3"/>
    <w:rsid w:val="00432267"/>
    <w:rsid w:val="004422D6"/>
    <w:rsid w:val="00493EEC"/>
    <w:rsid w:val="004C06DA"/>
    <w:rsid w:val="004F62F9"/>
    <w:rsid w:val="00520D5A"/>
    <w:rsid w:val="006A3660"/>
    <w:rsid w:val="006B6A8C"/>
    <w:rsid w:val="007219F8"/>
    <w:rsid w:val="007E2CEA"/>
    <w:rsid w:val="009035BA"/>
    <w:rsid w:val="00950B98"/>
    <w:rsid w:val="0096028F"/>
    <w:rsid w:val="0099744C"/>
    <w:rsid w:val="009C6198"/>
    <w:rsid w:val="00A9706D"/>
    <w:rsid w:val="00BA582F"/>
    <w:rsid w:val="00C117E5"/>
    <w:rsid w:val="00CA4E1E"/>
    <w:rsid w:val="00CE5389"/>
    <w:rsid w:val="00DC05BF"/>
    <w:rsid w:val="00E569BC"/>
    <w:rsid w:val="00EF4090"/>
    <w:rsid w:val="00F23808"/>
    <w:rsid w:val="00F54FE8"/>
    <w:rsid w:val="00F830A1"/>
    <w:rsid w:val="00F83503"/>
    <w:rsid w:val="00F90952"/>
    <w:rsid w:val="01D566D5"/>
    <w:rsid w:val="0ABE25C9"/>
    <w:rsid w:val="0B22488B"/>
    <w:rsid w:val="0BB879CE"/>
    <w:rsid w:val="0DA2208F"/>
    <w:rsid w:val="0E270727"/>
    <w:rsid w:val="1046051F"/>
    <w:rsid w:val="105A2C68"/>
    <w:rsid w:val="14647A34"/>
    <w:rsid w:val="16091459"/>
    <w:rsid w:val="163575A7"/>
    <w:rsid w:val="182C76DA"/>
    <w:rsid w:val="197932F2"/>
    <w:rsid w:val="1A837B68"/>
    <w:rsid w:val="1CE059C9"/>
    <w:rsid w:val="1DC92CF2"/>
    <w:rsid w:val="1E7C78C4"/>
    <w:rsid w:val="1F052B29"/>
    <w:rsid w:val="20092EF5"/>
    <w:rsid w:val="24733318"/>
    <w:rsid w:val="261C317A"/>
    <w:rsid w:val="2A562B78"/>
    <w:rsid w:val="2BE40668"/>
    <w:rsid w:val="2F925400"/>
    <w:rsid w:val="30F83ED2"/>
    <w:rsid w:val="328F7389"/>
    <w:rsid w:val="3E5B1023"/>
    <w:rsid w:val="400E4B85"/>
    <w:rsid w:val="43B45FB6"/>
    <w:rsid w:val="43BF30C6"/>
    <w:rsid w:val="46EF17C1"/>
    <w:rsid w:val="4DB36A77"/>
    <w:rsid w:val="4F546CC4"/>
    <w:rsid w:val="500922EA"/>
    <w:rsid w:val="52607A3E"/>
    <w:rsid w:val="58515368"/>
    <w:rsid w:val="5E2D77C9"/>
    <w:rsid w:val="611F12BD"/>
    <w:rsid w:val="62650B5E"/>
    <w:rsid w:val="649662DC"/>
    <w:rsid w:val="670D0EE0"/>
    <w:rsid w:val="6AF02DE3"/>
    <w:rsid w:val="6D384484"/>
    <w:rsid w:val="6ECB1213"/>
    <w:rsid w:val="73D6198D"/>
    <w:rsid w:val="747969F0"/>
    <w:rsid w:val="76313A3E"/>
    <w:rsid w:val="773F426A"/>
    <w:rsid w:val="78AC76B8"/>
    <w:rsid w:val="7C6D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5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 w:asciiTheme="minorHAnsi" w:hAnsiTheme="minorHAnsi" w:cstheme="minorBidi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link w:val="2"/>
    <w:semiHidden/>
    <w:qFormat/>
    <w:uiPriority w:val="0"/>
    <w:rPr>
      <w:sz w:val="18"/>
      <w:szCs w:val="18"/>
    </w:rPr>
  </w:style>
  <w:style w:type="character" w:customStyle="1" w:styleId="15">
    <w:name w:val="正文文本缩进 3 字符"/>
    <w:link w:val="5"/>
    <w:qFormat/>
    <w:uiPriority w:val="0"/>
    <w:rPr>
      <w:rFonts w:eastAsia="仿宋_GB2312"/>
      <w:sz w:val="32"/>
      <w:szCs w:val="24"/>
    </w:rPr>
  </w:style>
  <w:style w:type="paragraph" w:customStyle="1" w:styleId="16">
    <w:name w:val="普通(网站)2"/>
    <w:basedOn w:val="1"/>
    <w:qFormat/>
    <w:uiPriority w:val="0"/>
    <w:rPr>
      <w:rFonts w:ascii="Calibri" w:hAnsi="Calibri" w:cs="黑体"/>
      <w:sz w:val="24"/>
    </w:rPr>
  </w:style>
  <w:style w:type="character" w:customStyle="1" w:styleId="17">
    <w:name w:val="正文文本缩进 3 字符1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20">
    <w:name w:val="批注框文本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2455</Words>
  <Characters>13996</Characters>
  <Lines>116</Lines>
  <Paragraphs>32</Paragraphs>
  <TotalTime>24</TotalTime>
  <ScaleCrop>false</ScaleCrop>
  <LinksUpToDate>false</LinksUpToDate>
  <CharactersWithSpaces>16419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2021-02-07T10:41:00Z</dcterms:created>
  <dc:creator>薛理升</dc:creator>
  <cp:lastModifiedBy>杜春</cp:lastModifiedBy>
  <cp:lastPrinted>2021-03-03T11:33:00Z</cp:lastPrinted>
  <dcterms:modified xsi:type="dcterms:W3CDTF">2021-03-22T03:12:44Z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