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克孜勒苏柯尔克孜自治州科学技术协会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九、关于克州科协202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克州科学技术协会是克州党委领导下人民团体，主要工作职能：1、开展学术交流；2、为科技工作者服务，反映科技工作者的意见和要求，维护科技工作者的合法权益；3、围绕全民科学素质建设，开展科技科普宣传培训；4、引导科技工作者在克州社会事务中发挥作用，组织科技工作者参与政治协商、科学决策、民主监督，促进决策科学化、民主化；5、表彰举荐宣传优秀科技工作者，在全社会弘扬“尊重知识、尊重人才”的社会风尚；6、开展科学论证、咨询服务，提出政策建议。 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克州科协无下属预算单位，下设3个科室，分别是：科普科、协会办公室、少数民族科普工作队。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克州科协编制数11，实有人数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人；离休0人，减少0人。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kern w:val="0"/>
          <w:sz w:val="32"/>
          <w:szCs w:val="32"/>
        </w:rPr>
        <w:t>年克州科协预算公开表</w:t>
      </w:r>
    </w:p>
    <w:p>
      <w:pPr>
        <w:widowControl/>
        <w:numPr>
          <w:ilvl w:val="0"/>
          <w:numId w:val="0"/>
        </w:numPr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161.62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161.62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单位上年结余（不包含国库集中支付额度结余）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238.62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238.62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3"/>
        <w:tblW w:w="1011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95"/>
        <w:gridCol w:w="540"/>
        <w:gridCol w:w="1350"/>
        <w:gridCol w:w="946"/>
        <w:gridCol w:w="899"/>
        <w:gridCol w:w="598"/>
        <w:gridCol w:w="587"/>
        <w:gridCol w:w="653"/>
        <w:gridCol w:w="562"/>
        <w:gridCol w:w="435"/>
        <w:gridCol w:w="555"/>
        <w:gridCol w:w="795"/>
        <w:gridCol w:w="449"/>
        <w:gridCol w:w="6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238.62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161.62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77.00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238.62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161.92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77.00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机构运行（科学技术普及）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154.62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154.62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其他科学技术普及支出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84.00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77.00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238.62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161.62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77.00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3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90"/>
        <w:gridCol w:w="705"/>
        <w:gridCol w:w="1912"/>
        <w:gridCol w:w="1855"/>
        <w:gridCol w:w="1856"/>
        <w:gridCol w:w="1825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238.62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154.62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1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238.62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154.62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eastAsia="zh-CN"/>
              </w:rPr>
              <w:t>行（科学技术普及）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154.62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154.62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其他科学技术普及支出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84.00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238.62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154.62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84.00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16"/>
          <w:szCs w:val="16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16"/>
          <w:szCs w:val="16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16"/>
          <w:szCs w:val="16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16"/>
          <w:szCs w:val="16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 xml:space="preserve">编制部门（单位）：  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单位：万元</w:t>
      </w:r>
    </w:p>
    <w:tbl>
      <w:tblPr>
        <w:tblStyle w:val="3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付额度结余）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161.62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3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702"/>
        <w:gridCol w:w="2225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克州科协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机构运行（科学技术普及）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161.62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154.62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161.62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154.62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 w:val="0"/>
          <w:bCs w:val="0"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3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34"/>
        <w:gridCol w:w="2634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克州科协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30206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30226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30299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其它商品服务支出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154.62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6.16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3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05"/>
        <w:gridCol w:w="420"/>
        <w:gridCol w:w="390"/>
        <w:gridCol w:w="1530"/>
        <w:gridCol w:w="1155"/>
        <w:gridCol w:w="350"/>
        <w:gridCol w:w="340"/>
        <w:gridCol w:w="465"/>
        <w:gridCol w:w="690"/>
        <w:gridCol w:w="510"/>
        <w:gridCol w:w="294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克州科协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3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9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206</w:t>
            </w:r>
          </w:p>
        </w:tc>
        <w:tc>
          <w:tcPr>
            <w:tcW w:w="420" w:type="dxa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0" w:type="dxa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科学技术支出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206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  <w:t>07</w:t>
            </w:r>
          </w:p>
        </w:tc>
        <w:tc>
          <w:tcPr>
            <w:tcW w:w="390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科学技术普及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206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  <w:t>07</w:t>
            </w:r>
          </w:p>
        </w:tc>
        <w:tc>
          <w:tcPr>
            <w:tcW w:w="390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  <w:t>99</w:t>
            </w:r>
          </w:p>
        </w:tc>
        <w:tc>
          <w:tcPr>
            <w:tcW w:w="153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其他科学技术普及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  <w:t>群众工作经费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90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69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46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69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  <w:lang w:val="en-US" w:eastAsia="zh-CN"/>
              </w:rPr>
              <w:t>7.00</w:t>
            </w: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　</w:t>
            </w:r>
          </w:p>
        </w:tc>
        <w:tc>
          <w:tcPr>
            <w:tcW w:w="5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94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3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编制部门（单位）：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克州科协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3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备注：202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年未安排政府性基金，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克州科协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此表为空表。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162.62万元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支出预算包括：科学技术支出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1名在职干部辞职，人员工资减少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财政专户管理资金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单位其他资金收入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 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7万元。占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万元，主要原因是上级财政对基层工作重视，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科普专项、群众工作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资金补助加大。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单位上年结余（不包括国库集中支付额度结余）0万元，占0%，比上年增加（减少）0万元，主要原是无 。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元，主要原因是在职人员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坚持辞职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，在职工作人员工资预算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增加了上级科协通过本级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财政安排的科技专项经费。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国有资本经营预算。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预算支出包括：一般公共服务支出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万元，主要用于支付职工工资、津贴补贴、社会保障缴费、住房公积金及单位公用经费、群众工作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人员生活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补助经费等。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%。主要原因是：财政安排公用经费减少，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，因此基本支出减少。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7万元，比上年预算数减少17万元，下降70%。主要原因是：2021年项目减少，经费适当减少。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1.科学技术（类）（20607）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2.科学技术对应的基本支出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万元，占96%,指人员经费和维持机关运行的公用支出。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3、项目支出7万元，占4%，指群众工作经费。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1.科学技术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206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机构运行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科学技术普及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199.53万元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%。主要原因是：财政安排公用经费减少，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，因此基本支出减少。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206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机构运行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其他科学技术普及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年州本级预算中减少了本级财政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拨款</w:t>
      </w:r>
      <w:bookmarkStart w:id="2" w:name="_GoBack"/>
      <w:bookmarkEnd w:id="2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的专项费用。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148.46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42.96万元、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万元、奖金3.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9.75万元、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公用经费6.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</w:t>
      </w:r>
      <w:r>
        <w:rPr>
          <w:rFonts w:hint="eastAsia" w:ascii="仿宋_GB2312" w:hAnsi="黑体" w:eastAsia="仿宋_GB2312"/>
          <w:sz w:val="32"/>
          <w:szCs w:val="32"/>
        </w:rPr>
        <w:t>工作经费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自治州党委安排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克州科协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全年7万元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的1月-12月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万元，主要原因是本单位工作中没有因公出国（境）人员，未安排预算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公务用车购置费为0，未安排预算。公务用车运行费减少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万元，主要原因是本着厉行节约原则，减少公务用车使用维护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克州科协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克州科协202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年，克州科协本级及下属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%。主要原因是在职工作人员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。机关运行费用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>年度本部门（单位）面向中小企业预留政府采购项目预算金额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2辆，价值50.98元；其中：一般公务用车1 辆，价值12.3元；执法执勤用车 0 辆，价值0万元；其他车辆  1辆，价值 38.68万元。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0台（套），单位价值100万元以上大型设备 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年部门预算未安排购置车辆经费（或安排购置车辆经费0万元），安排购置50万元以上大型设备 0台（套），单位价值100万元以上大型设备 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克州科协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7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 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通过开展单位与村级组织联建工作，改善工作组办公条件。保障工作队在基层正常开展工作，举办文体活动，加强民族团结，增进民族互信。引导基层群众树立科学文明的生产生活方式。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群众工作点举办各类文体活动场次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各类活动完成率（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%)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项目完成时间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2021年12月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活动开展及时率（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%)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联建工作经费（万元）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提升村民精神面貌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显著提升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营造欢乐祥和、健康文明的社会环境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效果显著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基层工作者满意度（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%）</w:t>
            </w:r>
          </w:p>
        </w:tc>
        <w:tc>
          <w:tcPr>
            <w:tcW w:w="26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受益群众满意度（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%）</w:t>
            </w:r>
          </w:p>
        </w:tc>
        <w:tc>
          <w:tcPr>
            <w:tcW w:w="26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其他需说明的事项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克州科协无其他说明事项 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6080" w:hanging="6080" w:hangingChars="19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克州科学技术协会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2月5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31" w:y="37"/>
      <w:jc w:val="right"/>
      <w:rPr>
        <w:rStyle w:val="5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56" w:y="37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CB87E"/>
    <w:multiLevelType w:val="singleLevel"/>
    <w:tmpl w:val="B55CB87E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74D802A"/>
    <w:multiLevelType w:val="singleLevel"/>
    <w:tmpl w:val="074D802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4EADF2"/>
    <w:multiLevelType w:val="singleLevel"/>
    <w:tmpl w:val="414EADF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C06AE"/>
    <w:rsid w:val="130D1754"/>
    <w:rsid w:val="13353412"/>
    <w:rsid w:val="138C05A2"/>
    <w:rsid w:val="1A5A35C6"/>
    <w:rsid w:val="234A5757"/>
    <w:rsid w:val="24F8407A"/>
    <w:rsid w:val="2AAB22C8"/>
    <w:rsid w:val="30DE3ACA"/>
    <w:rsid w:val="333B5336"/>
    <w:rsid w:val="3A7922F0"/>
    <w:rsid w:val="406319D3"/>
    <w:rsid w:val="41597095"/>
    <w:rsid w:val="42EF2515"/>
    <w:rsid w:val="444F12EB"/>
    <w:rsid w:val="46670DF0"/>
    <w:rsid w:val="4A684161"/>
    <w:rsid w:val="4EED4A64"/>
    <w:rsid w:val="5E762945"/>
    <w:rsid w:val="63BD0BC4"/>
    <w:rsid w:val="64420348"/>
    <w:rsid w:val="64817DF2"/>
    <w:rsid w:val="65A075C0"/>
    <w:rsid w:val="65AF26A6"/>
    <w:rsid w:val="68083156"/>
    <w:rsid w:val="723C7D19"/>
    <w:rsid w:val="75002E2F"/>
    <w:rsid w:val="780E3D17"/>
    <w:rsid w:val="7A4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2021-02-03T06:54:00Z</dcterms:created>
  <dc:creator>Administrator</dc:creator>
  <cp:lastModifiedBy>Administrator</cp:lastModifiedBy>
  <dcterms:modified xsi:type="dcterms:W3CDTF">2022-02-19T04:44:24Z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