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 w:eastAsia="仿宋_GB2312"/>
          <w:sz w:val="32"/>
          <w:szCs w:val="32"/>
        </w:rPr>
      </w:pPr>
      <w:bookmarkStart w:id="2" w:name="_GoBack"/>
      <w:bookmarkEnd w:id="2"/>
    </w:p>
    <w:p>
      <w:pPr>
        <w:rPr>
          <w:rFonts w:ascii="宋体" w:hAnsi="宋体" w:cs="宋体"/>
          <w:b/>
          <w:bCs/>
          <w:kern w:val="0"/>
          <w:sz w:val="44"/>
          <w:szCs w:val="44"/>
        </w:rPr>
      </w:pPr>
      <w:bookmarkStart w:id="0" w:name="csmb"/>
      <w:r>
        <w:rPr>
          <w:rFonts w:hint="eastAsia" w:ascii="楷体_GB2312" w:hAnsi="黑体" w:eastAsia="楷体_GB2312"/>
          <w:spacing w:val="-30000"/>
          <w:w w:val="1"/>
          <w:sz w:val="10"/>
          <w:szCs w:val="10"/>
        </w:rPr>
        <w:t>厅领导，本厅有关处室</w:t>
      </w:r>
      <w:bookmarkEnd w:id="0"/>
      <w:bookmarkStart w:id="1" w:name="yinfadanwei"/>
      <w:r>
        <w:rPr>
          <w:rFonts w:hint="eastAsia" w:ascii="楷体_GB2312" w:hAnsi="黑体" w:eastAsia="楷体_GB2312"/>
          <w:spacing w:val="-30000"/>
          <w:w w:val="1"/>
          <w:sz w:val="10"/>
          <w:szCs w:val="10"/>
        </w:rPr>
        <w:t>新疆维</w:t>
      </w:r>
      <w:bookmarkEnd w:id="1"/>
      <w:r>
        <w:rPr>
          <w:rFonts w:hint="eastAsia" w:ascii="楷体_GB2312" w:hAnsi="黑体" w:eastAsia="楷体_GB2312"/>
          <w:spacing w:val="-30000"/>
          <w:w w:val="1"/>
          <w:sz w:val="10"/>
          <w:szCs w:val="10"/>
        </w:rPr>
        <w:t>厅领导，本厅有关处室新疆维吾尔自治区财政厅</w:t>
      </w:r>
      <w:r>
        <w:rPr>
          <w:rFonts w:hint="eastAsia" w:ascii="黑体" w:hAnsi="黑体" w:eastAsia="黑体"/>
          <w:sz w:val="32"/>
          <w:szCs w:val="32"/>
        </w:rPr>
        <w:t>附件：</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ind w:firstLine="1320" w:firstLineChars="300"/>
        <w:outlineLvl w:val="1"/>
        <w:rPr>
          <w:rFonts w:ascii="方正小标宋_GBK" w:hAnsi="宋体" w:eastAsia="方正小标宋_GBK"/>
          <w:kern w:val="0"/>
          <w:sz w:val="44"/>
          <w:szCs w:val="44"/>
        </w:rPr>
      </w:pPr>
      <w:r>
        <w:rPr>
          <w:sz w:val="44"/>
        </w:rPr>
        <w:pict>
          <v:shape id="_x0000_s2051" o:spid="_x0000_s2051" o:spt="201" alt="" type="#_x0000_t201" style="position:absolute;left:0pt;margin-left:190.9pt;margin-top:-42.1pt;height:120.8pt;width:120.8pt;z-index:-251656192;mso-width-relative:page;mso-height-relative:page;" o:ole="t" filled="f" o:preferrelative="t" stroked="f" coordsize="21600,21600">
            <v:path/>
            <v:fill on="f" focussize="0,0"/>
            <v:stroke on="f"/>
            <v:imagedata r:id="rId9" o:title=""/>
            <o:lock v:ext="edit" aspectratio="f"/>
          </v:shape>
          <w:control r:id="rId8" w:name="Control 3" w:shapeid="_x0000_s2051"/>
        </w:pict>
      </w:r>
      <w:r>
        <w:rPr>
          <w:rFonts w:hint="eastAsia" w:ascii="方正小标宋_GBK" w:hAnsi="宋体" w:eastAsia="方正小标宋_GBK"/>
          <w:kern w:val="0"/>
          <w:sz w:val="44"/>
          <w:szCs w:val="44"/>
        </w:rPr>
        <w:t>克孜勒苏柯尔克孜自治州福利彩票发行</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2021年预算公开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44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40" w:lineRule="exact"/>
        <w:ind w:firstLine="883" w:firstLineChars="200"/>
        <w:outlineLvl w:val="1"/>
        <w:rPr>
          <w:rFonts w:ascii="宋体" w:hAnsi="宋体"/>
          <w:b/>
          <w:kern w:val="0"/>
          <w:sz w:val="44"/>
          <w:szCs w:val="44"/>
        </w:rPr>
      </w:pPr>
    </w:p>
    <w:p>
      <w:pPr>
        <w:widowControl/>
        <w:spacing w:line="440" w:lineRule="exact"/>
        <w:ind w:firstLine="640"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克孜勒苏柯尔克孜自治州福利彩票发行中心概况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0"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2021年部门（单位）预算公开表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一、部门（单位）收支总体情况表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二、部门（单位）收入总体情况表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三、部门（单位）支出总体情况表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0"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2021年部门（单位）预算情况说明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一、关于克孜勒苏柯尔克孜自治州福利彩票发行中心2021年收支预算情况的总体说明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二、关于克孜勒苏柯尔克孜自治州福利彩票发行中心2021年收入预算情况说明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三、关于克孜勒苏柯尔克孜自治州福利彩票发行中心2021年支出预算情况说明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四、关于克孜勒苏柯尔克孜自治州福利彩票发行中心2021年财政拨款收支预算情况的总体说明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五、关于克孜勒苏柯尔克孜自治州福利彩票发行中心2021年一般公共预算当年拨款情况说明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六、关于克孜勒苏柯尔克孜自治州福利彩票发行中心2021年一般公共预算基本支出情况说明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七、关于克孜勒苏柯尔克孜自治州福利彩票发行中心2021年一般公共预算项目支出情况说明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八、关于克孜勒苏柯尔克孜自治州福利彩票发行中心2021年一般公共预算“三公”经费预算情况说明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九、关于克孜勒苏柯尔克孜自治州福利彩票发行中心2021年政府性基金预算拨款情况说明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0" w:firstLineChars="200"/>
        <w:outlineLvl w:val="1"/>
        <w:rPr>
          <w:rFonts w:ascii="仿宋_GB2312" w:hAnsi="宋体" w:eastAsia="仿宋_GB2312"/>
          <w:kern w:val="0"/>
          <w:sz w:val="32"/>
          <w:szCs w:val="32"/>
        </w:rPr>
      </w:pPr>
    </w:p>
    <w:p>
      <w:pPr>
        <w:widowControl/>
        <w:spacing w:line="440" w:lineRule="exact"/>
        <w:ind w:firstLine="640" w:firstLineChars="200"/>
        <w:outlineLvl w:val="1"/>
        <w:rPr>
          <w:rFonts w:ascii="黑体" w:hAnsi="黑体" w:eastAsia="黑体"/>
          <w:kern w:val="0"/>
          <w:sz w:val="32"/>
          <w:szCs w:val="32"/>
        </w:rPr>
      </w:pPr>
      <w:r>
        <w:rPr>
          <w:rFonts w:hint="eastAsia" w:ascii="仿宋_GB2312" w:hAnsi="宋体" w:eastAsia="仿宋_GB2312"/>
          <w:b/>
          <w:kern w:val="0"/>
          <w:sz w:val="32"/>
          <w:szCs w:val="32"/>
        </w:rPr>
        <w:t>第四部分  名词解释</w:t>
      </w:r>
    </w:p>
    <w:p>
      <w:pPr>
        <w:widowControl/>
        <w:spacing w:before="100" w:beforeAutospacing="1" w:after="100" w:afterAutospacing="1"/>
        <w:ind w:firstLine="320" w:firstLineChars="100"/>
        <w:outlineLvl w:val="1"/>
        <w:rPr>
          <w:rFonts w:ascii="黑体" w:hAnsi="黑体" w:eastAsia="黑体"/>
          <w:kern w:val="0"/>
          <w:sz w:val="32"/>
          <w:szCs w:val="32"/>
        </w:rPr>
      </w:pPr>
    </w:p>
    <w:p>
      <w:pPr>
        <w:widowControl/>
        <w:spacing w:before="100" w:beforeAutospacing="1" w:after="100" w:afterAutospacing="1"/>
        <w:ind w:firstLine="320" w:firstLineChars="100"/>
        <w:outlineLvl w:val="1"/>
        <w:rPr>
          <w:rFonts w:ascii="黑体" w:hAnsi="黑体" w:eastAsia="黑体"/>
          <w:kern w:val="0"/>
          <w:sz w:val="32"/>
          <w:szCs w:val="32"/>
        </w:rPr>
      </w:pPr>
    </w:p>
    <w:p>
      <w:pPr>
        <w:widowControl/>
        <w:spacing w:before="100" w:beforeAutospacing="1" w:after="100" w:afterAutospacing="1"/>
        <w:ind w:firstLine="320" w:firstLineChars="100"/>
        <w:outlineLvl w:val="1"/>
        <w:rPr>
          <w:rFonts w:ascii="黑体" w:hAnsi="黑体" w:eastAsia="黑体"/>
          <w:kern w:val="0"/>
          <w:sz w:val="32"/>
          <w:szCs w:val="32"/>
        </w:rPr>
      </w:pPr>
    </w:p>
    <w:p>
      <w:pPr>
        <w:widowControl/>
        <w:spacing w:before="100" w:beforeAutospacing="1" w:after="100" w:afterAutospacing="1"/>
        <w:ind w:firstLine="320" w:firstLineChars="100"/>
        <w:outlineLvl w:val="1"/>
        <w:rPr>
          <w:rFonts w:ascii="黑体" w:hAnsi="黑体" w:eastAsia="黑体"/>
          <w:kern w:val="0"/>
          <w:sz w:val="32"/>
          <w:szCs w:val="32"/>
        </w:rPr>
      </w:pPr>
    </w:p>
    <w:p>
      <w:pPr>
        <w:widowControl/>
        <w:spacing w:before="100" w:beforeAutospacing="1" w:after="100" w:afterAutospacing="1"/>
        <w:ind w:firstLine="320" w:firstLineChars="100"/>
        <w:outlineLvl w:val="1"/>
        <w:rPr>
          <w:rFonts w:ascii="黑体" w:hAnsi="黑体" w:eastAsia="黑体"/>
          <w:kern w:val="0"/>
          <w:sz w:val="32"/>
          <w:szCs w:val="32"/>
        </w:rPr>
      </w:pPr>
    </w:p>
    <w:p>
      <w:pPr>
        <w:widowControl/>
        <w:spacing w:before="100" w:beforeAutospacing="1" w:after="100" w:afterAutospacing="1"/>
        <w:ind w:firstLine="320" w:firstLineChars="100"/>
        <w:outlineLvl w:val="1"/>
        <w:rPr>
          <w:rFonts w:ascii="黑体" w:hAnsi="黑体" w:eastAsia="黑体"/>
          <w:kern w:val="0"/>
          <w:sz w:val="32"/>
          <w:szCs w:val="32"/>
        </w:rPr>
      </w:pPr>
    </w:p>
    <w:p>
      <w:pPr>
        <w:widowControl/>
        <w:spacing w:before="100" w:beforeAutospacing="1" w:after="100" w:afterAutospacing="1"/>
        <w:ind w:firstLine="320" w:firstLineChars="100"/>
        <w:outlineLvl w:val="1"/>
        <w:rPr>
          <w:rFonts w:ascii="黑体" w:hAnsi="黑体" w:eastAsia="黑体"/>
          <w:kern w:val="0"/>
          <w:sz w:val="32"/>
          <w:szCs w:val="32"/>
        </w:rPr>
      </w:pPr>
    </w:p>
    <w:p>
      <w:pPr>
        <w:widowControl/>
        <w:spacing w:before="100" w:beforeAutospacing="1" w:after="100" w:afterAutospacing="1"/>
        <w:ind w:firstLine="320" w:firstLineChars="100"/>
        <w:outlineLvl w:val="1"/>
        <w:rPr>
          <w:rFonts w:ascii="黑体" w:hAnsi="黑体" w:eastAsia="黑体"/>
          <w:kern w:val="0"/>
          <w:sz w:val="32"/>
          <w:szCs w:val="32"/>
        </w:rPr>
      </w:pPr>
    </w:p>
    <w:p>
      <w:pPr>
        <w:widowControl/>
        <w:spacing w:before="100" w:beforeAutospacing="1" w:after="100" w:afterAutospacing="1"/>
        <w:ind w:firstLine="320" w:firstLineChars="100"/>
        <w:outlineLvl w:val="1"/>
        <w:rPr>
          <w:rFonts w:ascii="黑体" w:hAnsi="黑体" w:eastAsia="黑体"/>
          <w:kern w:val="0"/>
          <w:sz w:val="32"/>
          <w:szCs w:val="32"/>
        </w:rPr>
      </w:pPr>
    </w:p>
    <w:p>
      <w:pPr>
        <w:widowControl/>
        <w:spacing w:before="100" w:beforeAutospacing="1" w:after="100" w:afterAutospacing="1"/>
        <w:ind w:firstLine="320" w:firstLineChars="100"/>
        <w:outlineLvl w:val="1"/>
        <w:rPr>
          <w:rFonts w:ascii="黑体" w:hAnsi="黑体" w:eastAsia="黑体"/>
          <w:kern w:val="0"/>
          <w:sz w:val="32"/>
          <w:szCs w:val="32"/>
        </w:rPr>
      </w:pPr>
    </w:p>
    <w:p>
      <w:pPr>
        <w:widowControl/>
        <w:spacing w:before="100" w:beforeAutospacing="1" w:after="100" w:afterAutospacing="1"/>
        <w:ind w:firstLine="320" w:firstLineChars="100"/>
        <w:outlineLvl w:val="1"/>
        <w:rPr>
          <w:rFonts w:ascii="黑体" w:hAnsi="黑体" w:eastAsia="黑体"/>
          <w:kern w:val="0"/>
          <w:sz w:val="32"/>
          <w:szCs w:val="32"/>
        </w:rPr>
      </w:pPr>
    </w:p>
    <w:p>
      <w:pPr>
        <w:widowControl/>
        <w:spacing w:before="100" w:beforeAutospacing="1" w:after="100" w:afterAutospacing="1"/>
        <w:ind w:firstLine="320" w:firstLineChars="100"/>
        <w:outlineLvl w:val="1"/>
        <w:rPr>
          <w:rFonts w:ascii="黑体" w:hAnsi="黑体" w:eastAsia="黑体"/>
          <w:kern w:val="0"/>
          <w:sz w:val="32"/>
          <w:szCs w:val="32"/>
        </w:rPr>
      </w:pPr>
    </w:p>
    <w:p>
      <w:pPr>
        <w:widowControl/>
        <w:spacing w:before="100" w:beforeAutospacing="1" w:after="100" w:afterAutospacing="1"/>
        <w:ind w:firstLine="320" w:firstLineChars="100"/>
        <w:outlineLvl w:val="1"/>
        <w:rPr>
          <w:rFonts w:ascii="黑体" w:hAnsi="黑体" w:eastAsia="黑体"/>
          <w:kern w:val="0"/>
          <w:sz w:val="32"/>
          <w:szCs w:val="32"/>
        </w:rPr>
      </w:pPr>
    </w:p>
    <w:p>
      <w:pPr>
        <w:widowControl/>
        <w:spacing w:before="100" w:beforeAutospacing="1" w:after="100" w:afterAutospacing="1"/>
        <w:ind w:firstLine="320" w:firstLineChars="100"/>
        <w:outlineLvl w:val="1"/>
        <w:rPr>
          <w:rFonts w:ascii="仿宋_GB2312" w:hAnsi="宋体" w:eastAsia="仿宋_GB2312" w:cs="宋体"/>
          <w:kern w:val="0"/>
          <w:sz w:val="32"/>
          <w:szCs w:val="32"/>
        </w:rPr>
      </w:pPr>
      <w:r>
        <w:rPr>
          <w:rFonts w:hint="eastAsia" w:ascii="黑体" w:hAnsi="黑体" w:eastAsia="黑体"/>
          <w:kern w:val="0"/>
          <w:sz w:val="32"/>
          <w:szCs w:val="32"/>
        </w:rPr>
        <w:t>第一部分  克孜勒苏柯尔克孜自治州福利彩票发行中心概况</w:t>
      </w:r>
    </w:p>
    <w:p>
      <w:pPr>
        <w:widowControl/>
        <w:spacing w:before="100" w:beforeAutospacing="1" w:after="100" w:afterAutospacing="1"/>
        <w:ind w:firstLine="320" w:firstLineChars="100"/>
        <w:outlineLvl w:val="1"/>
        <w:rPr>
          <w:rFonts w:ascii="黑体" w:hAnsi="黑体" w:eastAsia="黑体" w:cs="宋体"/>
          <w:bCs/>
          <w:kern w:val="0"/>
          <w:sz w:val="32"/>
          <w:szCs w:val="32"/>
        </w:rPr>
      </w:pPr>
      <w:r>
        <w:rPr>
          <w:rFonts w:hint="eastAsia" w:ascii="黑体" w:hAnsi="黑体" w:eastAsia="黑体" w:cs="宋体"/>
          <w:bCs/>
          <w:kern w:val="0"/>
          <w:sz w:val="32"/>
          <w:szCs w:val="32"/>
        </w:rPr>
        <w:t>一、主要职能</w:t>
      </w:r>
    </w:p>
    <w:p>
      <w:pPr>
        <w:pStyle w:val="7"/>
        <w:spacing w:before="226" w:beforeAutospacing="0" w:afterAutospacing="0" w:line="450" w:lineRule="atLeast"/>
        <w:ind w:firstLine="420"/>
        <w:rPr>
          <w:rFonts w:ascii="仿宋" w:hAnsi="仿宋" w:eastAsia="仿宋"/>
          <w:color w:val="414141"/>
          <w:sz w:val="32"/>
          <w:szCs w:val="32"/>
          <w:shd w:val="clear" w:color="auto" w:fill="FFFFFF"/>
        </w:rPr>
      </w:pPr>
      <w:r>
        <w:rPr>
          <w:rFonts w:hint="eastAsia" w:ascii="仿宋_GB2312" w:eastAsia="仿宋_GB2312"/>
          <w:sz w:val="32"/>
          <w:szCs w:val="32"/>
        </w:rPr>
        <w:t>克孜勒苏柯尔克孜自治州福利彩票发行中心</w:t>
      </w:r>
      <w:r>
        <w:rPr>
          <w:rFonts w:hint="eastAsia" w:ascii="仿宋" w:hAnsi="仿宋" w:eastAsia="仿宋"/>
          <w:color w:val="414141"/>
          <w:sz w:val="32"/>
          <w:szCs w:val="32"/>
          <w:shd w:val="clear" w:color="auto" w:fill="FFFFFF"/>
        </w:rPr>
        <w:t>。</w:t>
      </w:r>
      <w:r>
        <w:rPr>
          <w:rFonts w:hint="eastAsia" w:ascii="仿宋_GB2312" w:hAnsi="仿宋_GB2312" w:eastAsia="仿宋_GB2312" w:cs="仿宋_GB2312"/>
          <w:sz w:val="32"/>
          <w:szCs w:val="32"/>
        </w:rPr>
        <w:t>根据《彩票管理条例》《彩票管理条例实施细则》和民政厅、自治区福利彩票发行中心相关文件精神确定：地、州（市）福彩中心在当地民政局的领导下和自治区福彩中心的业务领导下，负责本地区电脑型福利彩票销售工作。</w:t>
      </w:r>
      <w:r>
        <w:rPr>
          <w:rFonts w:hint="eastAsia" w:ascii="仿宋" w:hAnsi="仿宋" w:eastAsia="仿宋"/>
          <w:color w:val="414141"/>
          <w:sz w:val="32"/>
          <w:szCs w:val="32"/>
          <w:shd w:val="clear" w:color="auto" w:fill="FFFFFF"/>
        </w:rPr>
        <w:t>其主要职责是：</w:t>
      </w:r>
    </w:p>
    <w:p>
      <w:pPr>
        <w:pStyle w:val="7"/>
        <w:spacing w:before="226" w:beforeAutospacing="0" w:afterAutospacing="0" w:line="450" w:lineRule="atLeast"/>
        <w:ind w:firstLine="420"/>
        <w:rPr>
          <w:rFonts w:ascii="仿宋" w:hAnsi="仿宋" w:eastAsia="仿宋"/>
          <w:color w:val="414141"/>
          <w:sz w:val="32"/>
          <w:szCs w:val="32"/>
          <w:shd w:val="clear" w:color="auto" w:fill="FFFFFF"/>
        </w:rPr>
      </w:pPr>
      <w:r>
        <w:rPr>
          <w:rFonts w:hint="eastAsia" w:ascii="仿宋" w:hAnsi="仿宋" w:eastAsia="仿宋"/>
          <w:color w:val="414141"/>
          <w:sz w:val="32"/>
          <w:szCs w:val="32"/>
          <w:shd w:val="clear" w:color="auto" w:fill="FFFFFF"/>
        </w:rPr>
        <w:t>（一）</w:t>
      </w:r>
      <w:r>
        <w:rPr>
          <w:rFonts w:hint="eastAsia" w:ascii="仿宋_GB2312" w:hAnsi="仿宋_GB2312" w:eastAsia="仿宋_GB2312" w:cs="仿宋_GB2312"/>
          <w:sz w:val="32"/>
          <w:szCs w:val="32"/>
        </w:rPr>
        <w:t>负责制定本地区福利彩票销售网络建设计划，受自治区福彩中心委托对本地区福利彩票销售网点进行日常管理，具体负责福利彩票网点的设立、迁移、撤销等初审上报工作</w:t>
      </w:r>
      <w:r>
        <w:rPr>
          <w:rFonts w:hint="eastAsia" w:ascii="仿宋" w:hAnsi="仿宋" w:eastAsia="仿宋"/>
          <w:color w:val="414141"/>
          <w:sz w:val="32"/>
          <w:szCs w:val="32"/>
          <w:shd w:val="clear" w:color="auto" w:fill="FFFFFF"/>
        </w:rPr>
        <w:t>。</w:t>
      </w:r>
    </w:p>
    <w:p>
      <w:pPr>
        <w:pStyle w:val="7"/>
        <w:spacing w:before="226" w:beforeAutospacing="0" w:afterAutospacing="0" w:line="450" w:lineRule="atLeast"/>
        <w:ind w:firstLine="420"/>
        <w:rPr>
          <w:rFonts w:ascii="仿宋" w:hAnsi="仿宋" w:eastAsia="仿宋_GB2312"/>
          <w:color w:val="414141"/>
          <w:sz w:val="32"/>
          <w:szCs w:val="32"/>
          <w:shd w:val="clear" w:color="auto" w:fill="FFFFFF"/>
        </w:rPr>
      </w:pPr>
      <w:r>
        <w:rPr>
          <w:rFonts w:hint="eastAsia" w:ascii="仿宋" w:hAnsi="仿宋" w:eastAsia="仿宋"/>
          <w:color w:val="414141"/>
          <w:sz w:val="32"/>
          <w:szCs w:val="32"/>
          <w:shd w:val="clear" w:color="auto" w:fill="FFFFFF"/>
        </w:rPr>
        <w:t>（二）</w:t>
      </w:r>
      <w:r>
        <w:rPr>
          <w:rFonts w:hint="eastAsia" w:ascii="仿宋_GB2312" w:hAnsi="仿宋_GB2312" w:eastAsia="仿宋_GB2312" w:cs="仿宋_GB2312"/>
          <w:sz w:val="32"/>
          <w:szCs w:val="32"/>
        </w:rPr>
        <w:t>受自治区中心委托代签代销协议，指导代销者规范化建设彩票销售场所。</w:t>
      </w:r>
    </w:p>
    <w:p>
      <w:pPr>
        <w:pStyle w:val="7"/>
        <w:spacing w:before="226" w:beforeAutospacing="0" w:afterAutospacing="0" w:line="450" w:lineRule="atLeast"/>
        <w:ind w:firstLine="420"/>
        <w:rPr>
          <w:rFonts w:ascii="仿宋" w:hAnsi="仿宋" w:eastAsia="仿宋"/>
          <w:color w:val="414141"/>
          <w:sz w:val="32"/>
          <w:szCs w:val="32"/>
          <w:shd w:val="clear" w:color="auto" w:fill="FFFFFF"/>
        </w:rPr>
      </w:pPr>
      <w:r>
        <w:rPr>
          <w:rFonts w:hint="eastAsia" w:ascii="仿宋" w:hAnsi="仿宋" w:eastAsia="仿宋"/>
          <w:color w:val="414141"/>
          <w:sz w:val="32"/>
          <w:szCs w:val="32"/>
          <w:shd w:val="clear" w:color="auto" w:fill="FFFFFF"/>
        </w:rPr>
        <w:t>（三）</w:t>
      </w:r>
      <w:r>
        <w:rPr>
          <w:rFonts w:hint="eastAsia" w:ascii="仿宋_GB2312" w:hAnsi="仿宋_GB2312" w:eastAsia="仿宋_GB2312" w:cs="仿宋_GB2312"/>
          <w:sz w:val="32"/>
          <w:szCs w:val="32"/>
        </w:rPr>
        <w:t>负责结合实际制定各项销售工作细则，规范开展彩票销售工作，及时处理市场投诉和销售纠纷</w:t>
      </w:r>
      <w:r>
        <w:rPr>
          <w:rFonts w:hint="eastAsia" w:ascii="仿宋" w:hAnsi="仿宋" w:eastAsia="仿宋"/>
          <w:color w:val="414141"/>
          <w:sz w:val="32"/>
          <w:szCs w:val="32"/>
          <w:shd w:val="clear" w:color="auto" w:fill="FFFFFF"/>
        </w:rPr>
        <w:t>。</w:t>
      </w:r>
    </w:p>
    <w:p>
      <w:pPr>
        <w:pStyle w:val="7"/>
        <w:spacing w:before="226" w:beforeAutospacing="0" w:afterAutospacing="0" w:line="450" w:lineRule="atLeast"/>
        <w:ind w:firstLine="420"/>
        <w:rPr>
          <w:rFonts w:ascii="仿宋" w:hAnsi="仿宋" w:eastAsia="仿宋"/>
          <w:color w:val="414141"/>
          <w:sz w:val="32"/>
          <w:szCs w:val="32"/>
          <w:shd w:val="clear" w:color="auto" w:fill="FFFFFF"/>
        </w:rPr>
      </w:pPr>
      <w:r>
        <w:rPr>
          <w:rFonts w:hint="eastAsia" w:ascii="仿宋" w:hAnsi="仿宋" w:eastAsia="仿宋"/>
          <w:color w:val="414141"/>
          <w:sz w:val="32"/>
          <w:szCs w:val="32"/>
          <w:shd w:val="clear" w:color="auto" w:fill="FFFFFF"/>
        </w:rPr>
        <w:t>（四）</w:t>
      </w:r>
      <w:r>
        <w:rPr>
          <w:rFonts w:hint="eastAsia" w:ascii="仿宋_GB2312" w:hAnsi="仿宋_GB2312" w:eastAsia="仿宋_GB2312" w:cs="仿宋_GB2312"/>
          <w:sz w:val="32"/>
          <w:szCs w:val="32"/>
        </w:rPr>
        <w:t>负责本地区50万元以下中奖者兑奖工作、销售资金上缴、设备保证金收取上缴工作</w:t>
      </w:r>
      <w:r>
        <w:rPr>
          <w:rFonts w:hint="eastAsia" w:ascii="仿宋" w:hAnsi="仿宋" w:eastAsia="仿宋"/>
          <w:color w:val="414141"/>
          <w:sz w:val="32"/>
          <w:szCs w:val="32"/>
          <w:shd w:val="clear" w:color="auto" w:fill="FFFFFF"/>
        </w:rPr>
        <w:t>。</w:t>
      </w:r>
    </w:p>
    <w:p>
      <w:pPr>
        <w:pStyle w:val="7"/>
        <w:spacing w:before="226" w:beforeAutospacing="0" w:afterAutospacing="0" w:line="450" w:lineRule="atLeast"/>
        <w:ind w:firstLine="420"/>
        <w:rPr>
          <w:rFonts w:ascii="仿宋" w:hAnsi="仿宋" w:eastAsia="仿宋"/>
          <w:color w:val="414141"/>
          <w:sz w:val="32"/>
          <w:szCs w:val="32"/>
          <w:shd w:val="clear" w:color="auto" w:fill="FFFFFF"/>
        </w:rPr>
      </w:pPr>
      <w:r>
        <w:rPr>
          <w:rFonts w:hint="eastAsia" w:ascii="仿宋" w:hAnsi="仿宋" w:eastAsia="仿宋"/>
          <w:color w:val="414141"/>
          <w:sz w:val="32"/>
          <w:szCs w:val="32"/>
          <w:shd w:val="clear" w:color="auto" w:fill="FFFFFF"/>
        </w:rPr>
        <w:t>（五）</w:t>
      </w:r>
      <w:r>
        <w:rPr>
          <w:rFonts w:hint="eastAsia" w:ascii="仿宋_GB2312" w:hAnsi="仿宋_GB2312" w:eastAsia="仿宋_GB2312" w:cs="仿宋_GB2312"/>
          <w:sz w:val="32"/>
          <w:szCs w:val="32"/>
        </w:rPr>
        <w:t>负责开展本地区的业务培训、营销、宣传工作</w:t>
      </w:r>
      <w:r>
        <w:rPr>
          <w:rFonts w:hint="eastAsia" w:ascii="仿宋" w:hAnsi="仿宋" w:eastAsia="仿宋"/>
          <w:color w:val="414141"/>
          <w:sz w:val="32"/>
          <w:szCs w:val="32"/>
          <w:shd w:val="clear" w:color="auto" w:fill="FFFFFF"/>
        </w:rPr>
        <w:t>。</w:t>
      </w:r>
    </w:p>
    <w:p>
      <w:pPr>
        <w:pStyle w:val="7"/>
        <w:spacing w:before="226" w:beforeAutospacing="0" w:afterAutospacing="0" w:line="450" w:lineRule="atLeast"/>
        <w:ind w:left="639" w:leftChars="152" w:hanging="320" w:hangingChars="100"/>
        <w:rPr>
          <w:rFonts w:ascii="仿宋" w:hAnsi="仿宋" w:eastAsia="仿宋"/>
          <w:color w:val="414141"/>
          <w:sz w:val="32"/>
          <w:szCs w:val="32"/>
          <w:shd w:val="clear" w:color="auto" w:fill="FFFFFF"/>
        </w:rPr>
      </w:pPr>
      <w:r>
        <w:rPr>
          <w:rFonts w:hint="eastAsia" w:ascii="仿宋" w:hAnsi="仿宋" w:eastAsia="仿宋"/>
          <w:color w:val="414141"/>
          <w:sz w:val="32"/>
          <w:szCs w:val="32"/>
          <w:shd w:val="clear" w:color="auto" w:fill="FFFFFF"/>
        </w:rPr>
        <w:t>（六）</w:t>
      </w:r>
      <w:r>
        <w:rPr>
          <w:rFonts w:hint="eastAsia" w:ascii="仿宋_GB2312" w:hAnsi="仿宋_GB2312" w:eastAsia="仿宋_GB2312" w:cs="仿宋_GB2312"/>
          <w:sz w:val="32"/>
          <w:szCs w:val="32"/>
        </w:rPr>
        <w:t>负责本地区销售设备、设施及耗材的日常发放管理及固定资产管理工作等工作。</w:t>
      </w:r>
    </w:p>
    <w:p>
      <w:pPr>
        <w:widowControl/>
        <w:spacing w:line="560" w:lineRule="exact"/>
        <w:jc w:val="left"/>
        <w:rPr>
          <w:rFonts w:ascii="仿宋_GB2312" w:hAnsi="黑体" w:eastAsia="仿宋_GB2312" w:cs="宋体"/>
          <w:b/>
          <w:bCs/>
          <w:kern w:val="0"/>
          <w:sz w:val="32"/>
          <w:szCs w:val="32"/>
        </w:rPr>
      </w:pPr>
      <w:r>
        <w:rPr>
          <w:rFonts w:hint="eastAsia" w:ascii="黑体" w:hAnsi="黑体" w:eastAsia="黑体" w:cs="宋体"/>
          <w:bCs/>
          <w:kern w:val="0"/>
          <w:sz w:val="32"/>
          <w:szCs w:val="32"/>
        </w:rPr>
        <w:t>二、机构设置及人员情况</w:t>
      </w:r>
    </w:p>
    <w:p>
      <w:pPr>
        <w:widowControl/>
        <w:spacing w:before="100" w:beforeAutospacing="1" w:after="100" w:afterAutospacing="1"/>
        <w:ind w:firstLine="640" w:firstLineChars="200"/>
        <w:outlineLvl w:val="1"/>
        <w:rPr>
          <w:rFonts w:ascii="仿宋" w:hAnsi="仿宋" w:eastAsia="仿宋" w:cs="宋体"/>
          <w:color w:val="414141"/>
          <w:kern w:val="0"/>
          <w:sz w:val="32"/>
          <w:szCs w:val="32"/>
          <w:shd w:val="clear" w:color="auto" w:fill="FFFFFF"/>
        </w:rPr>
      </w:pPr>
      <w:r>
        <w:rPr>
          <w:rFonts w:hint="eastAsia" w:ascii="仿宋_GB2312" w:hAnsi="宋体" w:eastAsia="仿宋_GB2312"/>
          <w:kern w:val="0"/>
          <w:sz w:val="32"/>
          <w:szCs w:val="32"/>
        </w:rPr>
        <w:t>克孜勒苏柯尔克孜自治州</w:t>
      </w:r>
      <w:r>
        <w:rPr>
          <w:rFonts w:hint="eastAsia" w:ascii="仿宋_GB2312" w:hAnsi="宋体" w:eastAsia="仿宋_GB2312"/>
          <w:bCs/>
          <w:kern w:val="0"/>
          <w:sz w:val="32"/>
          <w:szCs w:val="32"/>
        </w:rPr>
        <w:t>福利彩票发行中心</w:t>
      </w:r>
      <w:r>
        <w:rPr>
          <w:rFonts w:hint="eastAsia" w:ascii="仿宋" w:hAnsi="仿宋" w:eastAsia="仿宋" w:cs="宋体"/>
          <w:color w:val="414141"/>
          <w:kern w:val="0"/>
          <w:sz w:val="32"/>
          <w:szCs w:val="32"/>
          <w:shd w:val="clear" w:color="auto" w:fill="FFFFFF"/>
        </w:rPr>
        <w:t>无下属预算单位，下设4个科室，分别是：办公室、综合一部、综合二部、财务室等。</w:t>
      </w:r>
    </w:p>
    <w:p>
      <w:pPr>
        <w:widowControl/>
        <w:spacing w:before="100" w:beforeAutospacing="1" w:after="100" w:afterAutospacing="1"/>
        <w:ind w:firstLine="640" w:firstLineChars="200"/>
        <w:outlineLvl w:val="1"/>
        <w:rPr>
          <w:rFonts w:ascii="仿宋" w:hAnsi="仿宋" w:eastAsia="仿宋_GB2312" w:cs="宋体"/>
          <w:color w:val="414141"/>
          <w:kern w:val="0"/>
          <w:sz w:val="32"/>
          <w:szCs w:val="32"/>
          <w:shd w:val="clear" w:color="auto" w:fill="FFFFFF"/>
        </w:rPr>
      </w:pPr>
      <w:r>
        <w:rPr>
          <w:rFonts w:hint="eastAsia" w:ascii="仿宋_GB2312" w:hAnsi="宋体" w:eastAsia="仿宋_GB2312"/>
          <w:kern w:val="0"/>
          <w:sz w:val="32"/>
          <w:szCs w:val="32"/>
        </w:rPr>
        <w:t>克孜勒苏柯尔克孜自治州</w:t>
      </w:r>
      <w:r>
        <w:rPr>
          <w:rFonts w:hint="eastAsia" w:ascii="仿宋_GB2312" w:hAnsi="宋体" w:eastAsia="仿宋_GB2312"/>
          <w:bCs/>
          <w:kern w:val="0"/>
          <w:sz w:val="32"/>
          <w:szCs w:val="32"/>
        </w:rPr>
        <w:t>福利彩票发行中心</w:t>
      </w:r>
      <w:r>
        <w:rPr>
          <w:rFonts w:hint="eastAsia" w:ascii="仿宋" w:hAnsi="仿宋" w:eastAsia="仿宋" w:cs="宋体"/>
          <w:color w:val="414141"/>
          <w:kern w:val="0"/>
          <w:sz w:val="32"/>
          <w:szCs w:val="32"/>
          <w:shd w:val="clear" w:color="auto" w:fill="FFFFFF"/>
        </w:rPr>
        <w:t>编制数3，实有人数 3人，其中：在职3人，</w:t>
      </w:r>
      <w:r>
        <w:rPr>
          <w:rFonts w:hint="eastAsia" w:ascii="仿宋_GB2312" w:hAnsi="宋体" w:eastAsia="仿宋_GB2312" w:cs="宋体"/>
          <w:kern w:val="0"/>
          <w:sz w:val="32"/>
          <w:szCs w:val="32"/>
        </w:rPr>
        <w:t>增加0人</w:t>
      </w:r>
      <w:r>
        <w:rPr>
          <w:rFonts w:hint="eastAsia" w:ascii="仿宋" w:hAnsi="仿宋" w:eastAsia="仿宋" w:cs="宋体"/>
          <w:color w:val="414141"/>
          <w:kern w:val="0"/>
          <w:sz w:val="32"/>
          <w:szCs w:val="32"/>
          <w:shd w:val="clear" w:color="auto" w:fill="FFFFFF"/>
        </w:rPr>
        <w:t>； 退休0人，</w:t>
      </w:r>
      <w:r>
        <w:rPr>
          <w:rFonts w:hint="eastAsia" w:ascii="仿宋_GB2312" w:hAnsi="宋体" w:eastAsia="仿宋_GB2312" w:cs="宋体"/>
          <w:kern w:val="0"/>
          <w:sz w:val="32"/>
          <w:szCs w:val="32"/>
        </w:rPr>
        <w:t>增加0人</w:t>
      </w:r>
      <w:r>
        <w:rPr>
          <w:rFonts w:hint="eastAsia" w:ascii="仿宋" w:hAnsi="仿宋" w:eastAsia="仿宋" w:cs="宋体"/>
          <w:color w:val="414141"/>
          <w:kern w:val="0"/>
          <w:sz w:val="32"/>
          <w:szCs w:val="32"/>
          <w:shd w:val="clear" w:color="auto" w:fill="FFFFFF"/>
        </w:rPr>
        <w:t>；离休0人，</w:t>
      </w:r>
      <w:r>
        <w:rPr>
          <w:rFonts w:hint="eastAsia" w:ascii="仿宋_GB2312" w:hAnsi="宋体" w:eastAsia="仿宋_GB2312" w:cs="宋体"/>
          <w:kern w:val="0"/>
          <w:sz w:val="32"/>
          <w:szCs w:val="32"/>
        </w:rPr>
        <w:t>增加0人。</w:t>
      </w: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p>
    <w:p>
      <w:pPr>
        <w:widowControl/>
        <w:spacing w:line="280" w:lineRule="exact"/>
        <w:ind w:firstLine="1280" w:firstLineChars="400"/>
        <w:outlineLvl w:val="1"/>
        <w:rPr>
          <w:rFonts w:ascii="黑体" w:hAnsi="黑体" w:eastAsia="黑体"/>
          <w:kern w:val="0"/>
          <w:sz w:val="32"/>
          <w:szCs w:val="32"/>
        </w:rPr>
      </w:pPr>
      <w:r>
        <w:rPr>
          <w:rFonts w:hint="eastAsia" w:ascii="黑体" w:hAnsi="黑体" w:eastAsia="黑体"/>
          <w:kern w:val="0"/>
          <w:sz w:val="32"/>
          <w:szCs w:val="32"/>
        </w:rPr>
        <w:t>第二部分  2021年部门（单位）预算公开表</w:t>
      </w:r>
    </w:p>
    <w:p>
      <w:pPr>
        <w:pStyle w:val="2"/>
        <w:ind w:firstLine="640"/>
      </w:pPr>
    </w:p>
    <w:p>
      <w:pPr>
        <w:widowControl/>
        <w:spacing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编制部门（单位）克孜勒苏柯尔克孜自治州福利彩票发行中心单位：万元</w:t>
      </w:r>
    </w:p>
    <w:tbl>
      <w:tblPr>
        <w:tblStyle w:val="8"/>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国有资本</w:t>
            </w:r>
            <w:r>
              <w:rPr>
                <w:rFonts w:ascii="仿宋_GB2312" w:hAnsi="宋体" w:eastAsia="仿宋_GB2312" w:cs="宋体"/>
                <w:kern w:val="0"/>
                <w:sz w:val="18"/>
                <w:szCs w:val="18"/>
              </w:rPr>
              <w:t>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22 </w:t>
            </w:r>
            <w:r>
              <w:rPr>
                <w:rFonts w:hint="eastAsia" w:ascii="仿宋_GB2312" w:hAnsi="宋体" w:eastAsia="仿宋_GB2312" w:cs="宋体"/>
                <w:kern w:val="0"/>
                <w:sz w:val="18"/>
                <w:szCs w:val="18"/>
              </w:rPr>
              <w:t>粮油</w:t>
            </w:r>
            <w:r>
              <w:rPr>
                <w:rFonts w:ascii="仿宋_GB2312" w:hAnsi="宋体" w:eastAsia="仿宋_GB2312" w:cs="宋体"/>
                <w:kern w:val="0"/>
                <w:sz w:val="18"/>
                <w:szCs w:val="18"/>
              </w:rPr>
              <w:t>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　</w:t>
            </w:r>
          </w:p>
        </w:tc>
      </w:tr>
    </w:tbl>
    <w:p>
      <w:pPr>
        <w:widowControl/>
        <w:spacing w:line="280" w:lineRule="exact"/>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编制部门（单位）：克孜勒苏柯尔克孜自治州福利彩票发行中心单位：万元</w:t>
      </w:r>
    </w:p>
    <w:tbl>
      <w:tblPr>
        <w:tblStyle w:val="8"/>
        <w:tblW w:w="10429" w:type="dxa"/>
        <w:tblInd w:w="-450" w:type="dxa"/>
        <w:tblLayout w:type="fixed"/>
        <w:tblCellMar>
          <w:top w:w="0" w:type="dxa"/>
          <w:left w:w="108" w:type="dxa"/>
          <w:bottom w:w="0" w:type="dxa"/>
          <w:right w:w="108" w:type="dxa"/>
        </w:tblCellMar>
      </w:tblPr>
      <w:tblGrid>
        <w:gridCol w:w="573"/>
        <w:gridCol w:w="435"/>
        <w:gridCol w:w="420"/>
        <w:gridCol w:w="902"/>
        <w:gridCol w:w="992"/>
        <w:gridCol w:w="851"/>
        <w:gridCol w:w="850"/>
        <w:gridCol w:w="667"/>
        <w:gridCol w:w="709"/>
        <w:gridCol w:w="42"/>
        <w:gridCol w:w="358"/>
        <w:gridCol w:w="734"/>
        <w:gridCol w:w="42"/>
        <w:gridCol w:w="525"/>
        <w:gridCol w:w="567"/>
        <w:gridCol w:w="425"/>
        <w:gridCol w:w="709"/>
        <w:gridCol w:w="628"/>
      </w:tblGrid>
      <w:tr>
        <w:tblPrEx>
          <w:tblCellMar>
            <w:top w:w="0" w:type="dxa"/>
            <w:left w:w="108" w:type="dxa"/>
            <w:bottom w:w="0" w:type="dxa"/>
            <w:right w:w="108" w:type="dxa"/>
          </w:tblCellMar>
        </w:tblPrEx>
        <w:trPr>
          <w:trHeight w:val="2671" w:hRule="atLeast"/>
        </w:trPr>
        <w:tc>
          <w:tcPr>
            <w:tcW w:w="14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902"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92"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1"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85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6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709" w:type="dxa"/>
            <w:tcBorders>
              <w:top w:val="single" w:color="auto" w:sz="4" w:space="0"/>
              <w:left w:val="single" w:color="auto" w:sz="4" w:space="0"/>
              <w:bottom w:val="single" w:color="000000"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国有资本</w:t>
            </w:r>
            <w:r>
              <w:rPr>
                <w:rFonts w:ascii="仿宋_GB2312" w:eastAsia="仿宋_GB2312"/>
                <w:b/>
                <w:color w:val="000000"/>
                <w:sz w:val="20"/>
                <w:szCs w:val="20"/>
              </w:rPr>
              <w:t>经营预算</w:t>
            </w:r>
          </w:p>
        </w:tc>
        <w:tc>
          <w:tcPr>
            <w:tcW w:w="400" w:type="dxa"/>
            <w:gridSpan w:val="2"/>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34" w:type="dxa"/>
            <w:tcBorders>
              <w:top w:val="single" w:color="auto" w:sz="4" w:space="0"/>
              <w:left w:val="single" w:color="auto" w:sz="4" w:space="0"/>
              <w:bottom w:val="single" w:color="000000"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w:t>
            </w:r>
          </w:p>
          <w:p>
            <w:pPr>
              <w:rPr>
                <w:rFonts w:ascii="仿宋_GB2312" w:eastAsia="仿宋_GB2312"/>
                <w:b/>
                <w:color w:val="000000"/>
                <w:sz w:val="20"/>
                <w:szCs w:val="20"/>
              </w:rPr>
            </w:pPr>
            <w:r>
              <w:rPr>
                <w:rFonts w:hint="eastAsia" w:ascii="仿宋_GB2312" w:eastAsia="仿宋_GB2312"/>
                <w:b/>
                <w:color w:val="000000"/>
                <w:sz w:val="20"/>
                <w:szCs w:val="20"/>
              </w:rPr>
              <w:t>级</w:t>
            </w:r>
          </w:p>
          <w:p>
            <w:pPr>
              <w:rPr>
                <w:rFonts w:ascii="仿宋_GB2312" w:eastAsia="仿宋_GB2312"/>
                <w:b/>
                <w:color w:val="000000"/>
                <w:sz w:val="20"/>
                <w:szCs w:val="20"/>
              </w:rPr>
            </w:pPr>
            <w:r>
              <w:rPr>
                <w:rFonts w:hint="eastAsia" w:ascii="仿宋_GB2312" w:eastAsia="仿宋_GB2312"/>
                <w:b/>
                <w:color w:val="000000"/>
                <w:sz w:val="20"/>
                <w:szCs w:val="20"/>
              </w:rPr>
              <w:t>补助</w:t>
            </w:r>
          </w:p>
          <w:p>
            <w:pPr>
              <w:rPr>
                <w:rFonts w:ascii="仿宋_GB2312" w:eastAsia="仿宋_GB2312"/>
                <w:b/>
                <w:color w:val="000000"/>
                <w:sz w:val="20"/>
                <w:szCs w:val="20"/>
              </w:rPr>
            </w:pPr>
            <w:r>
              <w:rPr>
                <w:rFonts w:hint="eastAsia" w:ascii="仿宋_GB2312" w:eastAsia="仿宋_GB2312"/>
                <w:b/>
                <w:color w:val="000000"/>
                <w:sz w:val="20"/>
                <w:szCs w:val="20"/>
              </w:rPr>
              <w:t>收</w:t>
            </w:r>
          </w:p>
          <w:p>
            <w:pPr>
              <w:rPr>
                <w:rFonts w:ascii="仿宋_GB2312" w:eastAsia="仿宋_GB2312"/>
                <w:b/>
                <w:color w:val="000000"/>
                <w:sz w:val="20"/>
                <w:szCs w:val="20"/>
              </w:rPr>
            </w:pPr>
            <w:r>
              <w:rPr>
                <w:rFonts w:hint="eastAsia" w:ascii="仿宋_GB2312" w:eastAsia="仿宋_GB2312"/>
                <w:b/>
                <w:color w:val="000000"/>
                <w:sz w:val="20"/>
                <w:szCs w:val="20"/>
              </w:rPr>
              <w:t>入</w:t>
            </w:r>
          </w:p>
        </w:tc>
        <w:tc>
          <w:tcPr>
            <w:tcW w:w="567" w:type="dxa"/>
            <w:gridSpan w:val="2"/>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56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c>
          <w:tcPr>
            <w:tcW w:w="425"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上级专项收入</w:t>
            </w:r>
          </w:p>
        </w:tc>
        <w:tc>
          <w:tcPr>
            <w:tcW w:w="709"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用事业基金弥补收支差额</w:t>
            </w:r>
          </w:p>
        </w:tc>
        <w:tc>
          <w:tcPr>
            <w:tcW w:w="628"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单位上年结余（不包含国库集中支付额度</w:t>
            </w: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229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08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04　</w:t>
            </w:r>
          </w:p>
        </w:tc>
        <w:tc>
          <w:tcPr>
            <w:tcW w:w="902"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15"/>
                <w:szCs w:val="15"/>
              </w:rPr>
            </w:pPr>
            <w:r>
              <w:rPr>
                <w:rFonts w:hint="eastAsia" w:ascii="仿宋_GB2312" w:hAnsi="宋体" w:eastAsia="仿宋_GB2312" w:cs="宋体"/>
                <w:color w:val="000000"/>
                <w:sz w:val="15"/>
                <w:szCs w:val="15"/>
              </w:rPr>
              <w:t>福利彩票销售机构的业务费支出</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85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85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1"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3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6"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5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1"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3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6"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5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1"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3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6"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5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1"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3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6"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5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1"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3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6"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5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1"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3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6"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5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1"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3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6"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5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1"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3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6"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5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1"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3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6"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5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1"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3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6"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5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1"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3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6"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5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811"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1"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3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6"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5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681" w:hRule="atLeast"/>
        </w:trPr>
        <w:tc>
          <w:tcPr>
            <w:tcW w:w="57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9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85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85　</w:t>
            </w:r>
          </w:p>
        </w:tc>
        <w:tc>
          <w:tcPr>
            <w:tcW w:w="6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1"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3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6" w:type="dxa"/>
            <w:gridSpan w:val="2"/>
            <w:tcBorders>
              <w:top w:val="nil"/>
              <w:left w:val="nil"/>
              <w:bottom w:val="single" w:color="auto" w:sz="4" w:space="0"/>
              <w:right w:val="nil"/>
            </w:tcBorders>
          </w:tcPr>
          <w:p>
            <w:pPr>
              <w:jc w:val="right"/>
              <w:rPr>
                <w:rFonts w:ascii="仿宋_GB2312" w:eastAsia="仿宋_GB2312"/>
                <w:color w:val="000000"/>
                <w:sz w:val="20"/>
                <w:szCs w:val="20"/>
              </w:rPr>
            </w:pPr>
          </w:p>
        </w:tc>
        <w:tc>
          <w:tcPr>
            <w:tcW w:w="5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628"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bl>
    <w:p>
      <w:pPr>
        <w:widowControl/>
        <w:spacing w:line="280" w:lineRule="exact"/>
        <w:outlineLvl w:val="1"/>
        <w:rPr>
          <w:rFonts w:ascii="仿宋_GB2312" w:hAnsi="宋体" w:eastAsia="仿宋_GB2312"/>
          <w:b/>
          <w:kern w:val="0"/>
          <w:sz w:val="28"/>
          <w:szCs w:val="32"/>
        </w:rPr>
      </w:pPr>
    </w:p>
    <w:p>
      <w:pPr>
        <w:widowControl/>
        <w:spacing w:line="280" w:lineRule="exact"/>
        <w:jc w:val="left"/>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pPr>
        <w:widowControl/>
        <w:spacing w:line="280" w:lineRule="exact"/>
        <w:outlineLvl w:val="1"/>
        <w:rPr>
          <w:rFonts w:ascii="仿宋_GB2312" w:hAnsi="宋体" w:eastAsia="仿宋_GB2312"/>
          <w:kern w:val="0"/>
          <w:szCs w:val="21"/>
        </w:rPr>
      </w:pPr>
      <w:r>
        <w:rPr>
          <w:rFonts w:hint="eastAsia" w:ascii="仿宋_GB2312" w:hAnsi="宋体" w:eastAsia="仿宋_GB2312"/>
          <w:kern w:val="0"/>
          <w:sz w:val="24"/>
        </w:rPr>
        <w:t>编制部门（单位）：克孜勒苏柯尔克孜自治州福彩票发行中心</w:t>
      </w:r>
      <w:r>
        <w:rPr>
          <w:rFonts w:hint="eastAsia" w:ascii="仿宋_GB2312" w:hAnsi="宋体" w:eastAsia="仿宋_GB2312"/>
          <w:kern w:val="0"/>
          <w:szCs w:val="21"/>
        </w:rPr>
        <w:t>单位：万元</w:t>
      </w:r>
    </w:p>
    <w:tbl>
      <w:tblPr>
        <w:tblStyle w:val="8"/>
        <w:tblW w:w="9420" w:type="dxa"/>
        <w:tblInd w:w="-240" w:type="dxa"/>
        <w:tblLayout w:type="fixed"/>
        <w:tblCellMar>
          <w:top w:w="0" w:type="dxa"/>
          <w:left w:w="108" w:type="dxa"/>
          <w:bottom w:w="0" w:type="dxa"/>
          <w:right w:w="108" w:type="dxa"/>
        </w:tblCellMar>
      </w:tblPr>
      <w:tblGrid>
        <w:gridCol w:w="483"/>
        <w:gridCol w:w="420"/>
        <w:gridCol w:w="465"/>
        <w:gridCol w:w="2437"/>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6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3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3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5"/>
                <w:szCs w:val="15"/>
              </w:rPr>
            </w:pPr>
            <w:r>
              <w:rPr>
                <w:rFonts w:hint="eastAsia" w:ascii="宋体" w:hAnsi="宋体" w:cs="宋体"/>
                <w:b/>
                <w:bCs/>
                <w:color w:val="000000"/>
                <w:kern w:val="0"/>
                <w:sz w:val="15"/>
                <w:szCs w:val="15"/>
              </w:rPr>
              <w:t>229</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5"/>
                <w:szCs w:val="15"/>
              </w:rPr>
            </w:pPr>
            <w:r>
              <w:rPr>
                <w:rFonts w:hint="eastAsia" w:ascii="宋体" w:hAnsi="宋体" w:cs="宋体"/>
                <w:b/>
                <w:bCs/>
                <w:color w:val="000000"/>
                <w:kern w:val="0"/>
                <w:sz w:val="15"/>
                <w:szCs w:val="15"/>
              </w:rPr>
              <w:t>08</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04</w:t>
            </w:r>
          </w:p>
        </w:tc>
        <w:tc>
          <w:tcPr>
            <w:tcW w:w="2437" w:type="dxa"/>
            <w:tcBorders>
              <w:top w:val="nil"/>
              <w:left w:val="nil"/>
              <w:bottom w:val="single" w:color="auto" w:sz="4" w:space="0"/>
              <w:right w:val="single" w:color="auto" w:sz="4" w:space="0"/>
            </w:tcBorders>
            <w:vAlign w:val="center"/>
          </w:tcPr>
          <w:p>
            <w:pPr>
              <w:ind w:left="720" w:hanging="720" w:hangingChars="400"/>
              <w:rPr>
                <w:rFonts w:ascii="宋体" w:hAnsi="宋体" w:cs="宋体"/>
                <w:b/>
                <w:bCs/>
                <w:color w:val="000000"/>
                <w:kern w:val="0"/>
                <w:sz w:val="22"/>
                <w:szCs w:val="22"/>
              </w:rPr>
            </w:pPr>
            <w:r>
              <w:rPr>
                <w:rFonts w:hint="eastAsia" w:ascii="宋体" w:hAnsi="宋体" w:cs="宋体"/>
                <w:color w:val="000000"/>
                <w:sz w:val="18"/>
                <w:szCs w:val="18"/>
              </w:rPr>
              <w:t>福利彩票销售机构的业务费支出</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85</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85</w:t>
            </w: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579" w:hRule="atLeast"/>
        </w:trPr>
        <w:tc>
          <w:tcPr>
            <w:tcW w:w="483"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6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4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5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85</w:t>
            </w:r>
          </w:p>
        </w:tc>
        <w:tc>
          <w:tcPr>
            <w:tcW w:w="185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1904"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85</w:t>
            </w:r>
          </w:p>
        </w:tc>
      </w:tr>
    </w:tbl>
    <w:p>
      <w:pPr>
        <w:widowControl/>
        <w:outlineLvl w:val="1"/>
        <w:rPr>
          <w:rFonts w:ascii="仿宋_GB2312" w:hAnsi="宋体" w:eastAsia="仿宋_GB2312"/>
          <w:b/>
          <w:kern w:val="0"/>
          <w:sz w:val="28"/>
          <w:szCs w:val="32"/>
        </w:rPr>
      </w:pPr>
    </w:p>
    <w:p>
      <w:pPr>
        <w:widowControl/>
        <w:spacing w:beforeLines="50" w:line="280" w:lineRule="exact"/>
        <w:outlineLvl w:val="1"/>
        <w:rPr>
          <w:rFonts w:ascii="仿宋_GB2312" w:hAnsi="宋体" w:eastAsia="仿宋_GB2312"/>
          <w:b/>
          <w:kern w:val="0"/>
          <w:sz w:val="32"/>
          <w:szCs w:val="32"/>
        </w:rPr>
      </w:pPr>
    </w:p>
    <w:p>
      <w:pPr>
        <w:widowControl/>
        <w:spacing w:beforeLines="50" w:line="280" w:lineRule="exact"/>
        <w:outlineLvl w:val="1"/>
        <w:rPr>
          <w:rFonts w:ascii="仿宋_GB2312" w:hAnsi="宋体" w:eastAsia="仿宋_GB2312"/>
          <w:b/>
          <w:kern w:val="0"/>
          <w:sz w:val="32"/>
          <w:szCs w:val="32"/>
        </w:rPr>
      </w:pPr>
    </w:p>
    <w:p>
      <w:pPr>
        <w:widowControl/>
        <w:spacing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编制部门（单位）：克孜勒苏柯尔克孜自治州福利彩票发行中心          单位：万元</w:t>
      </w:r>
    </w:p>
    <w:tbl>
      <w:tblPr>
        <w:tblStyle w:val="8"/>
        <w:tblpPr w:leftFromText="180" w:rightFromText="180" w:vertAnchor="text" w:tblpY="1"/>
        <w:tblOverlap w:val="never"/>
        <w:tblW w:w="9449" w:type="dxa"/>
        <w:tblInd w:w="0" w:type="dxa"/>
        <w:tblLayout w:type="fixed"/>
        <w:tblCellMar>
          <w:top w:w="0" w:type="dxa"/>
          <w:left w:w="108" w:type="dxa"/>
          <w:bottom w:w="0" w:type="dxa"/>
          <w:right w:w="108" w:type="dxa"/>
        </w:tblCellMar>
      </w:tblPr>
      <w:tblGrid>
        <w:gridCol w:w="1795"/>
        <w:gridCol w:w="1055"/>
        <w:gridCol w:w="2580"/>
        <w:gridCol w:w="901"/>
        <w:gridCol w:w="850"/>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546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p>
        </w:tc>
      </w:tr>
      <w:tr>
        <w:tblPrEx>
          <w:tblCellMar>
            <w:top w:w="0" w:type="dxa"/>
            <w:left w:w="108" w:type="dxa"/>
            <w:bottom w:w="0" w:type="dxa"/>
            <w:right w:w="108" w:type="dxa"/>
          </w:tblCellMar>
        </w:tblPrEx>
        <w:trPr>
          <w:trHeight w:val="465" w:hRule="atLeas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4"/>
              </w:rPr>
              <w:t>政府性基金预算</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w:t>
            </w:r>
            <w:r>
              <w:rPr>
                <w:rFonts w:ascii="仿宋_GB2312" w:hAnsi="宋体" w:eastAsia="仿宋_GB2312" w:cs="宋体"/>
                <w:b/>
                <w:kern w:val="0"/>
                <w:sz w:val="20"/>
                <w:szCs w:val="20"/>
              </w:rPr>
              <w:t>资本经营预算</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一、财政拨款（补助）</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85　</w:t>
            </w:r>
          </w:p>
        </w:tc>
        <w:tc>
          <w:tcPr>
            <w:tcW w:w="258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1"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85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国有资本</w:t>
            </w:r>
            <w:r>
              <w:rPr>
                <w:rFonts w:ascii="仿宋_GB2312" w:hAnsi="宋体" w:eastAsia="仿宋_GB2312" w:cs="宋体"/>
                <w:kern w:val="0"/>
                <w:sz w:val="18"/>
                <w:szCs w:val="18"/>
              </w:rPr>
              <w:t>经营预算</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w:t>
            </w:r>
            <w:r>
              <w:rPr>
                <w:rFonts w:ascii="仿宋_GB2312" w:hAnsi="宋体" w:eastAsia="仿宋_GB2312" w:cs="宋体"/>
                <w:kern w:val="0"/>
                <w:sz w:val="18"/>
                <w:szCs w:val="18"/>
              </w:rPr>
              <w:t>与计划生育支出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85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85</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85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color w:val="000000"/>
                <w:kern w:val="0"/>
                <w:sz w:val="15"/>
                <w:szCs w:val="15"/>
              </w:rPr>
              <w:t>85</w:t>
            </w: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85</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14" w:type="dxa"/>
        <w:tblInd w:w="-34" w:type="dxa"/>
        <w:tblLayout w:type="fixed"/>
        <w:tblCellMar>
          <w:top w:w="0" w:type="dxa"/>
          <w:left w:w="108" w:type="dxa"/>
          <w:bottom w:w="0" w:type="dxa"/>
          <w:right w:w="108" w:type="dxa"/>
        </w:tblCellMar>
      </w:tblPr>
      <w:tblGrid>
        <w:gridCol w:w="568"/>
        <w:gridCol w:w="492"/>
        <w:gridCol w:w="537"/>
        <w:gridCol w:w="2390"/>
        <w:gridCol w:w="1684"/>
        <w:gridCol w:w="1842"/>
        <w:gridCol w:w="1701"/>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Cs w:val="21"/>
              </w:rPr>
              <w:t>克孜勒苏柯尔克孜自治州福利彩票发行中心</w:t>
            </w: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59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9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3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9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390" w:type="dxa"/>
            <w:tcBorders>
              <w:top w:val="nil"/>
              <w:left w:val="nil"/>
              <w:bottom w:val="single" w:color="auto" w:sz="4" w:space="0"/>
              <w:right w:val="single" w:color="auto" w:sz="4" w:space="0"/>
            </w:tcBorders>
            <w:vAlign w:val="center"/>
          </w:tcPr>
          <w:p>
            <w:pPr>
              <w:ind w:left="630" w:hanging="630" w:hangingChars="300"/>
              <w:rPr>
                <w:rFonts w:ascii="仿宋_GB2312" w:hAnsi="宋体" w:eastAsia="仿宋_GB2312" w:cs="宋体"/>
                <w:b/>
                <w:bCs/>
                <w:color w:val="000000"/>
                <w:kern w:val="0"/>
                <w:szCs w:val="21"/>
              </w:rPr>
            </w:pPr>
          </w:p>
        </w:tc>
        <w:tc>
          <w:tcPr>
            <w:tcW w:w="168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p>
        </w:tc>
        <w:tc>
          <w:tcPr>
            <w:tcW w:w="184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3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3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9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3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tcBorders>
              <w:top w:val="nil"/>
              <w:left w:val="nil"/>
              <w:bottom w:val="single" w:color="auto" w:sz="4" w:space="0"/>
              <w:right w:val="single" w:color="auto" w:sz="4" w:space="0"/>
            </w:tcBorders>
            <w:vAlign w:val="center"/>
          </w:tcPr>
          <w:p>
            <w:pPr>
              <w:widowControl/>
              <w:ind w:firstLine="600" w:firstLineChars="300"/>
              <w:jc w:val="left"/>
              <w:rPr>
                <w:rFonts w:ascii="宋体" w:hAnsi="宋体" w:cs="宋体"/>
                <w:color w:val="000000"/>
                <w:kern w:val="0"/>
                <w:sz w:val="20"/>
                <w:szCs w:val="20"/>
              </w:rPr>
            </w:pPr>
            <w:r>
              <w:rPr>
                <w:rFonts w:hint="eastAsia" w:ascii="宋体" w:hAnsi="宋体" w:cs="宋体"/>
                <w:color w:val="000000"/>
                <w:kern w:val="0"/>
                <w:sz w:val="20"/>
                <w:szCs w:val="20"/>
              </w:rPr>
              <w:t>85</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ind w:firstLine="600" w:firstLineChars="300"/>
              <w:jc w:val="left"/>
              <w:rPr>
                <w:rFonts w:ascii="宋体" w:hAnsi="宋体" w:cs="宋体"/>
                <w:color w:val="000000"/>
                <w:kern w:val="0"/>
                <w:sz w:val="20"/>
                <w:szCs w:val="20"/>
              </w:rPr>
            </w:pPr>
            <w:r>
              <w:rPr>
                <w:rFonts w:hint="eastAsia" w:ascii="宋体" w:hAnsi="宋体" w:cs="宋体"/>
                <w:color w:val="000000"/>
                <w:kern w:val="0"/>
                <w:sz w:val="20"/>
                <w:szCs w:val="20"/>
              </w:rPr>
              <w:t>85</w:t>
            </w:r>
          </w:p>
        </w:tc>
      </w:tr>
    </w:tbl>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328" w:type="dxa"/>
        <w:tblInd w:w="-148" w:type="dxa"/>
        <w:tblLayout w:type="fixed"/>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编制部门（单位）：克孜勒苏柯尔克孜自治州福利彩票发行中心单位：万元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ind w:right="147" w:rightChars="7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备注：本单位2021年未安排基本支出.</w:t>
      </w: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540" w:type="dxa"/>
        <w:tblInd w:w="-360" w:type="dxa"/>
        <w:tblLayout w:type="fixed"/>
        <w:tblCellMar>
          <w:top w:w="0" w:type="dxa"/>
          <w:left w:w="108" w:type="dxa"/>
          <w:bottom w:w="0" w:type="dxa"/>
          <w:right w:w="108" w:type="dxa"/>
        </w:tblCellMar>
      </w:tblPr>
      <w:tblGrid>
        <w:gridCol w:w="8"/>
        <w:gridCol w:w="535"/>
        <w:gridCol w:w="465"/>
        <w:gridCol w:w="435"/>
        <w:gridCol w:w="1276"/>
        <w:gridCol w:w="779"/>
        <w:gridCol w:w="750"/>
        <w:gridCol w:w="569"/>
        <w:gridCol w:w="536"/>
        <w:gridCol w:w="652"/>
        <w:gridCol w:w="652"/>
        <w:gridCol w:w="578"/>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6"/>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9453" w:type="dxa"/>
            <w:gridSpan w:val="1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克孜勒苏柯尔克孜自治州福利彩票发行中心</w:t>
            </w:r>
            <w:r>
              <w:rPr>
                <w:rFonts w:hint="eastAsia" w:ascii="仿宋_GB2312" w:hAnsi="宋体" w:eastAsia="仿宋_GB2312" w:cs="宋体"/>
                <w:color w:val="000000"/>
                <w:kern w:val="0"/>
                <w:sz w:val="24"/>
              </w:rPr>
              <w:t>单位：万元</w:t>
            </w:r>
          </w:p>
          <w:p>
            <w:pPr>
              <w:widowControl/>
              <w:jc w:val="lef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43"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27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779"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43"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65"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35"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276"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77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3" w:type="dxa"/>
            <w:gridSpan w:val="2"/>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229</w:t>
            </w:r>
          </w:p>
        </w:tc>
        <w:tc>
          <w:tcPr>
            <w:tcW w:w="465" w:type="dxa"/>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08</w:t>
            </w:r>
          </w:p>
        </w:tc>
        <w:tc>
          <w:tcPr>
            <w:tcW w:w="435" w:type="dxa"/>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04</w:t>
            </w:r>
          </w:p>
        </w:tc>
        <w:tc>
          <w:tcPr>
            <w:tcW w:w="1276" w:type="dxa"/>
          </w:tcPr>
          <w:p>
            <w:pPr>
              <w:widowControl/>
              <w:jc w:val="left"/>
              <w:outlineLvl w:val="1"/>
              <w:rPr>
                <w:rFonts w:ascii="仿宋_GB2312" w:hAnsi="宋体" w:eastAsia="仿宋_GB2312"/>
                <w:kern w:val="0"/>
                <w:sz w:val="20"/>
                <w:szCs w:val="20"/>
              </w:rPr>
            </w:pPr>
            <w:r>
              <w:rPr>
                <w:rFonts w:hint="eastAsia" w:ascii="仿宋_GB2312" w:hAnsi="宋体" w:eastAsia="仿宋_GB2312" w:cs="宋体"/>
                <w:color w:val="000000"/>
                <w:szCs w:val="21"/>
              </w:rPr>
              <w:t>福利彩票销售机构的业务费支出</w:t>
            </w:r>
          </w:p>
        </w:tc>
        <w:tc>
          <w:tcPr>
            <w:tcW w:w="779" w:type="dxa"/>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业务经费</w:t>
            </w:r>
          </w:p>
        </w:tc>
        <w:tc>
          <w:tcPr>
            <w:tcW w:w="750" w:type="dxa"/>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85</w:t>
            </w:r>
          </w:p>
        </w:tc>
        <w:tc>
          <w:tcPr>
            <w:tcW w:w="569" w:type="dxa"/>
            <w:vAlign w:val="center"/>
          </w:tcPr>
          <w:p>
            <w:pPr>
              <w:widowControl/>
              <w:jc w:val="center"/>
              <w:outlineLvl w:val="1"/>
              <w:rPr>
                <w:rFonts w:ascii="仿宋_GB2312" w:hAnsi="宋体" w:eastAsia="仿宋_GB2312"/>
                <w:kern w:val="0"/>
                <w:sz w:val="20"/>
                <w:szCs w:val="20"/>
              </w:rPr>
            </w:pPr>
          </w:p>
        </w:tc>
        <w:tc>
          <w:tcPr>
            <w:tcW w:w="536" w:type="dxa"/>
            <w:vAlign w:val="center"/>
          </w:tcPr>
          <w:p>
            <w:pPr>
              <w:widowControl/>
              <w:jc w:val="center"/>
              <w:outlineLvl w:val="1"/>
              <w:rPr>
                <w:rFonts w:ascii="仿宋_GB2312" w:hAnsi="宋体" w:eastAsia="仿宋_GB2312"/>
                <w:kern w:val="0"/>
                <w:sz w:val="20"/>
                <w:szCs w:val="20"/>
              </w:rPr>
            </w:pPr>
          </w:p>
        </w:tc>
        <w:tc>
          <w:tcPr>
            <w:tcW w:w="652" w:type="dxa"/>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85</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7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7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7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7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7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7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3" w:type="dxa"/>
            <w:gridSpan w:val="2"/>
          </w:tcPr>
          <w:p>
            <w:pPr>
              <w:widowControl/>
              <w:jc w:val="left"/>
              <w:outlineLvl w:val="1"/>
              <w:rPr>
                <w:rFonts w:ascii="仿宋_GB2312" w:hAnsi="宋体" w:eastAsia="仿宋_GB2312"/>
                <w:kern w:val="0"/>
                <w:sz w:val="32"/>
                <w:szCs w:val="32"/>
              </w:rPr>
            </w:pPr>
          </w:p>
        </w:tc>
        <w:tc>
          <w:tcPr>
            <w:tcW w:w="465" w:type="dxa"/>
          </w:tcPr>
          <w:p>
            <w:pPr>
              <w:widowControl/>
              <w:jc w:val="left"/>
              <w:outlineLvl w:val="1"/>
              <w:rPr>
                <w:rFonts w:ascii="仿宋_GB2312" w:hAnsi="宋体" w:eastAsia="仿宋_GB2312"/>
                <w:kern w:val="0"/>
                <w:sz w:val="32"/>
                <w:szCs w:val="32"/>
              </w:rPr>
            </w:pPr>
          </w:p>
        </w:tc>
        <w:tc>
          <w:tcPr>
            <w:tcW w:w="435" w:type="dxa"/>
          </w:tcPr>
          <w:p>
            <w:pPr>
              <w:widowControl/>
              <w:jc w:val="left"/>
              <w:outlineLvl w:val="1"/>
              <w:rPr>
                <w:rFonts w:ascii="仿宋_GB2312" w:hAnsi="宋体" w:eastAsia="仿宋_GB2312"/>
                <w:kern w:val="0"/>
                <w:sz w:val="32"/>
                <w:szCs w:val="32"/>
              </w:rPr>
            </w:pPr>
          </w:p>
        </w:tc>
        <w:tc>
          <w:tcPr>
            <w:tcW w:w="1276" w:type="dxa"/>
          </w:tcPr>
          <w:p>
            <w:pPr>
              <w:widowControl/>
              <w:jc w:val="left"/>
              <w:outlineLvl w:val="1"/>
              <w:rPr>
                <w:rFonts w:ascii="仿宋_GB2312" w:hAnsi="宋体" w:eastAsia="仿宋_GB2312"/>
                <w:kern w:val="0"/>
                <w:sz w:val="32"/>
                <w:szCs w:val="32"/>
              </w:rPr>
            </w:pPr>
          </w:p>
        </w:tc>
        <w:tc>
          <w:tcPr>
            <w:tcW w:w="779"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7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7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79"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50" w:type="dxa"/>
            <w:vAlign w:val="bottom"/>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85</w:t>
            </w:r>
          </w:p>
        </w:tc>
        <w:tc>
          <w:tcPr>
            <w:tcW w:w="569" w:type="dxa"/>
            <w:vAlign w:val="bottom"/>
          </w:tcPr>
          <w:p>
            <w:pPr>
              <w:widowControl/>
              <w:jc w:val="center"/>
              <w:outlineLvl w:val="1"/>
              <w:rPr>
                <w:rFonts w:ascii="仿宋_GB2312" w:hAnsi="宋体" w:eastAsia="仿宋_GB2312"/>
                <w:kern w:val="0"/>
                <w:szCs w:val="21"/>
              </w:rPr>
            </w:pPr>
          </w:p>
        </w:tc>
        <w:tc>
          <w:tcPr>
            <w:tcW w:w="536" w:type="dxa"/>
            <w:vAlign w:val="bottom"/>
          </w:tcPr>
          <w:p>
            <w:pPr>
              <w:widowControl/>
              <w:jc w:val="center"/>
              <w:outlineLvl w:val="1"/>
              <w:rPr>
                <w:rFonts w:ascii="仿宋_GB2312" w:hAnsi="宋体" w:eastAsia="仿宋_GB2312"/>
                <w:kern w:val="0"/>
                <w:szCs w:val="21"/>
              </w:rPr>
            </w:pPr>
          </w:p>
        </w:tc>
        <w:tc>
          <w:tcPr>
            <w:tcW w:w="652" w:type="dxa"/>
            <w:vAlign w:val="bottom"/>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85</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克孜勒苏柯尔克孜自治州福利彩票发行中心 单位：万元</w:t>
      </w:r>
    </w:p>
    <w:p>
      <w:pPr>
        <w:widowControl/>
        <w:jc w:val="left"/>
        <w:outlineLvl w:val="1"/>
        <w:rPr>
          <w:rFonts w:ascii="仿宋_GB2312" w:hAnsi="宋体" w:eastAsia="仿宋_GB2312"/>
          <w:kern w:val="0"/>
          <w:sz w:val="24"/>
        </w:rPr>
      </w:pPr>
    </w:p>
    <w:tbl>
      <w:tblPr>
        <w:tblStyle w:val="8"/>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highlight w:val="green"/>
        </w:rPr>
      </w:pPr>
      <w:r>
        <w:rPr>
          <w:rFonts w:hint="eastAsia" w:ascii="仿宋_GB2312" w:hAnsi="宋体" w:eastAsia="仿宋_GB2312"/>
          <w:b/>
          <w:kern w:val="0"/>
          <w:sz w:val="28"/>
          <w:szCs w:val="32"/>
        </w:rPr>
        <w:t>备注：本单位2021年未安排“三公”经费相关支出。</w:t>
      </w:r>
    </w:p>
    <w:p>
      <w:pPr>
        <w:widowControl/>
        <w:outlineLvl w:val="1"/>
        <w:rPr>
          <w:rFonts w:ascii="仿宋_GB2312" w:hAnsi="宋体" w:eastAsia="仿宋_GB2312"/>
          <w:b/>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spacing w:line="280" w:lineRule="exact"/>
        <w:jc w:val="left"/>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编制部门（单位）：克孜勒苏柯尔克孜自治州福利彩票发行中心单位：万元</w:t>
      </w:r>
    </w:p>
    <w:p>
      <w:pPr>
        <w:widowControl/>
        <w:spacing w:line="280" w:lineRule="exact"/>
        <w:jc w:val="center"/>
        <w:outlineLvl w:val="1"/>
        <w:rPr>
          <w:rFonts w:ascii="仿宋_GB2312" w:hAnsi="宋体" w:eastAsia="仿宋_GB2312"/>
          <w:kern w:val="0"/>
          <w:sz w:val="24"/>
        </w:rPr>
      </w:pPr>
    </w:p>
    <w:tbl>
      <w:tblPr>
        <w:tblStyle w:val="8"/>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229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08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04　</w:t>
            </w:r>
          </w:p>
        </w:tc>
        <w:tc>
          <w:tcPr>
            <w:tcW w:w="2544" w:type="dxa"/>
            <w:tcBorders>
              <w:top w:val="nil"/>
              <w:left w:val="nil"/>
              <w:bottom w:val="single" w:color="auto" w:sz="4" w:space="0"/>
              <w:right w:val="single" w:color="auto" w:sz="4" w:space="0"/>
            </w:tcBorders>
          </w:tcPr>
          <w:p>
            <w:pPr>
              <w:widowControl/>
              <w:ind w:left="630" w:hanging="630" w:hangingChars="300"/>
              <w:jc w:val="left"/>
              <w:outlineLvl w:val="1"/>
              <w:rPr>
                <w:rFonts w:ascii="仿宋_GB2312" w:hAnsi="宋体" w:eastAsia="仿宋_GB2312"/>
                <w:kern w:val="0"/>
                <w:sz w:val="20"/>
                <w:szCs w:val="20"/>
              </w:rPr>
            </w:pPr>
            <w:r>
              <w:rPr>
                <w:rFonts w:hint="eastAsia" w:ascii="仿宋_GB2312" w:hAnsi="宋体" w:eastAsia="仿宋_GB2312" w:cs="宋体"/>
                <w:color w:val="000000"/>
                <w:szCs w:val="21"/>
              </w:rPr>
              <w:t>福利彩票销售机构的业务费支出</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85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85</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85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85　</w:t>
            </w:r>
          </w:p>
        </w:tc>
      </w:tr>
    </w:tbl>
    <w:p>
      <w:pPr>
        <w:widowControl/>
        <w:spacing w:line="280" w:lineRule="exac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start="1"/>
          <w:cols w:space="720" w:num="1"/>
          <w:docGrid w:linePitch="312" w:charSpace="0"/>
        </w:sectPr>
      </w:pPr>
    </w:p>
    <w:p>
      <w:pPr>
        <w:spacing w:line="560" w:lineRule="exact"/>
        <w:ind w:left="2558" w:leftChars="304" w:hanging="1920" w:hangingChars="600"/>
        <w:jc w:val="center"/>
        <w:rPr>
          <w:rFonts w:ascii="黑体" w:hAnsi="黑体" w:eastAsia="黑体"/>
          <w:kern w:val="0"/>
          <w:sz w:val="32"/>
          <w:szCs w:val="32"/>
        </w:rPr>
      </w:pPr>
    </w:p>
    <w:p>
      <w:pPr>
        <w:spacing w:line="560" w:lineRule="exact"/>
        <w:ind w:left="2558" w:leftChars="304" w:hanging="1920" w:hangingChars="600"/>
        <w:jc w:val="center"/>
        <w:rPr>
          <w:rFonts w:ascii="黑体" w:hAnsi="黑体" w:eastAsia="黑体"/>
          <w:kern w:val="0"/>
          <w:sz w:val="32"/>
          <w:szCs w:val="32"/>
        </w:rPr>
      </w:pPr>
      <w:r>
        <w:rPr>
          <w:rFonts w:hint="eastAsia" w:ascii="黑体" w:hAnsi="黑体" w:eastAsia="黑体"/>
          <w:kern w:val="0"/>
          <w:sz w:val="32"/>
          <w:szCs w:val="32"/>
        </w:rPr>
        <w:t>第三部分 2021年克孜勒苏柯尔克孜自治州福利彩票</w:t>
      </w:r>
    </w:p>
    <w:p>
      <w:pPr>
        <w:spacing w:line="560" w:lineRule="exact"/>
        <w:ind w:left="2558" w:leftChars="304" w:hanging="1920" w:hangingChars="600"/>
        <w:jc w:val="center"/>
        <w:rPr>
          <w:rFonts w:ascii="黑体" w:hAnsi="黑体" w:eastAsia="黑体"/>
          <w:kern w:val="0"/>
          <w:sz w:val="32"/>
          <w:szCs w:val="32"/>
        </w:rPr>
      </w:pPr>
      <w:r>
        <w:rPr>
          <w:rFonts w:hint="eastAsia" w:ascii="黑体" w:hAnsi="黑体" w:eastAsia="黑体"/>
          <w:kern w:val="0"/>
          <w:sz w:val="32"/>
          <w:szCs w:val="32"/>
        </w:rPr>
        <w:t>发行中心预算情况说明</w:t>
      </w:r>
    </w:p>
    <w:p>
      <w:pPr>
        <w:spacing w:line="560" w:lineRule="exact"/>
        <w:ind w:left="638" w:leftChars="304"/>
        <w:rPr>
          <w:rFonts w:ascii="黑体" w:hAnsi="黑体" w:eastAsia="黑体"/>
          <w:kern w:val="0"/>
          <w:sz w:val="32"/>
          <w:szCs w:val="32"/>
        </w:rPr>
      </w:pPr>
      <w:r>
        <w:rPr>
          <w:rFonts w:hint="eastAsia" w:ascii="黑体" w:hAnsi="宋体" w:eastAsia="黑体" w:cs="宋体"/>
          <w:kern w:val="0"/>
          <w:sz w:val="32"/>
          <w:szCs w:val="32"/>
        </w:rPr>
        <w:t>一、关于</w:t>
      </w:r>
      <w:r>
        <w:rPr>
          <w:rFonts w:hint="eastAsia" w:ascii="黑体" w:hAnsi="黑体" w:eastAsia="黑体"/>
          <w:kern w:val="0"/>
          <w:sz w:val="32"/>
          <w:szCs w:val="32"/>
        </w:rPr>
        <w:t>克孜勒苏柯尔克孜自治州福利彩票发行中心</w:t>
      </w: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2021年收支预算情况的总体说明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照全口径预算的原则，克孜勒苏柯尔克孜自治州福利彩票发行中心2021年所有收入和支出均纳入部门（单位）预算管理。收支总预算85万元。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收入预算包括：政府性基金预算85万元。</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支出预算包括：其他支出85万元。</w:t>
      </w:r>
    </w:p>
    <w:p>
      <w:pPr>
        <w:numPr>
          <w:ilvl w:val="0"/>
          <w:numId w:val="1"/>
        </w:numPr>
        <w:spacing w:line="560" w:lineRule="exact"/>
        <w:ind w:left="1278" w:leftChars="304" w:hanging="640" w:hangingChars="200"/>
        <w:rPr>
          <w:rFonts w:ascii="黑体" w:hAnsi="黑体" w:eastAsia="黑体"/>
          <w:kern w:val="0"/>
          <w:sz w:val="32"/>
          <w:szCs w:val="32"/>
        </w:rPr>
      </w:pPr>
      <w:r>
        <w:rPr>
          <w:rFonts w:hint="eastAsia" w:ascii="黑体" w:hAnsi="宋体" w:eastAsia="黑体" w:cs="宋体"/>
          <w:kern w:val="0"/>
          <w:sz w:val="32"/>
          <w:szCs w:val="32"/>
        </w:rPr>
        <w:t>关于</w:t>
      </w:r>
      <w:r>
        <w:rPr>
          <w:rFonts w:hint="eastAsia" w:ascii="黑体" w:hAnsi="黑体" w:eastAsia="黑体"/>
          <w:kern w:val="0"/>
          <w:sz w:val="32"/>
          <w:szCs w:val="32"/>
        </w:rPr>
        <w:t>克孜勒苏柯尔克孜自治州福利彩票发行中心</w:t>
      </w:r>
    </w:p>
    <w:p>
      <w:pPr>
        <w:spacing w:line="560" w:lineRule="exact"/>
        <w:ind w:left="218" w:leftChars="104"/>
        <w:rPr>
          <w:rFonts w:ascii="黑体" w:hAnsi="宋体" w:eastAsia="黑体" w:cs="宋体"/>
          <w:kern w:val="0"/>
          <w:sz w:val="32"/>
          <w:szCs w:val="32"/>
        </w:rPr>
      </w:pPr>
      <w:r>
        <w:rPr>
          <w:rFonts w:hint="eastAsia" w:ascii="黑体" w:hAnsi="黑体" w:eastAsia="黑体"/>
          <w:kern w:val="0"/>
          <w:sz w:val="32"/>
          <w:szCs w:val="32"/>
        </w:rPr>
        <w:t>2021</w:t>
      </w:r>
      <w:r>
        <w:rPr>
          <w:rFonts w:hint="eastAsia" w:ascii="黑体" w:hAnsi="宋体" w:eastAsia="黑体" w:cs="宋体"/>
          <w:kern w:val="0"/>
          <w:sz w:val="32"/>
          <w:szCs w:val="32"/>
        </w:rPr>
        <w:t>年收入预算情况说明</w:t>
      </w:r>
    </w:p>
    <w:p>
      <w:pPr>
        <w:spacing w:line="560" w:lineRule="exact"/>
        <w:ind w:left="319" w:leftChars="152"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克孜勒苏柯尔克孜自治州福利彩票发行中心收入预算    85万元，其中：</w:t>
      </w:r>
    </w:p>
    <w:p>
      <w:pPr>
        <w:spacing w:line="560" w:lineRule="exact"/>
        <w:ind w:left="319" w:leftChars="152"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left="319" w:leftChars="152"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政府性基金预算85万元，占100%，比上年增加85万元，主要原因主要原因是上年无年初预算，今年开始做预算。</w:t>
      </w:r>
    </w:p>
    <w:p>
      <w:pPr>
        <w:spacing w:line="560" w:lineRule="exact"/>
        <w:ind w:left="639" w:leftChars="152" w:hanging="320" w:hangingChars="100"/>
        <w:jc w:val="left"/>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克孜勒苏柯尔克孜自治州福利彩票发行中心2021</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克孜勒苏柯尔克孜自治州福利彩票发行中心2021年支出预算 85万元，其中：</w:t>
      </w:r>
    </w:p>
    <w:p>
      <w:pPr>
        <w:spacing w:line="560" w:lineRule="exact"/>
        <w:ind w:left="319" w:leftChars="152" w:firstLine="320" w:firstLineChars="1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基本支出0万元，占0%，比上年增加（减少）0万元，主要原因是上年无年初预算。</w:t>
      </w:r>
    </w:p>
    <w:p>
      <w:pPr>
        <w:spacing w:line="560" w:lineRule="exact"/>
        <w:ind w:left="319" w:leftChars="152" w:firstLine="320" w:firstLineChars="100"/>
        <w:rPr>
          <w:rFonts w:ascii="仿宋_GB2312" w:hAnsi="宋体" w:eastAsia="仿宋_GB2312" w:cs="宋体"/>
          <w:b/>
          <w:spacing w:val="-6"/>
          <w:kern w:val="0"/>
          <w:sz w:val="32"/>
          <w:szCs w:val="32"/>
        </w:rPr>
      </w:pPr>
      <w:r>
        <w:rPr>
          <w:rFonts w:hint="eastAsia" w:ascii="仿宋_GB2312" w:hAnsi="宋体" w:eastAsia="仿宋_GB2312" w:cs="宋体"/>
          <w:kern w:val="0"/>
          <w:sz w:val="32"/>
          <w:szCs w:val="32"/>
        </w:rPr>
        <w:t>项目支出85万元，占100%，比上年增加85万元，主要原因是上年无年初预算，今年开始做预算。</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克孜勒苏柯尔克孜自治州福利彩票发行中心2021</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2021年财政拨款收支总预算85万元。</w:t>
      </w:r>
    </w:p>
    <w:p>
      <w:pPr>
        <w:spacing w:line="560" w:lineRule="exact"/>
        <w:ind w:left="319" w:leftChars="152"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收入预算包括：一般公共预算拨款0万元，政府性基金预算拨款85万元。</w:t>
      </w:r>
    </w:p>
    <w:p>
      <w:pPr>
        <w:pStyle w:val="2"/>
        <w:ind w:firstLine="640"/>
        <w:rPr>
          <w:rFonts w:ascii="仿宋_GB2312" w:hAnsi="宋体" w:eastAsia="仿宋_GB2312"/>
          <w:b/>
          <w:color w:val="auto"/>
          <w:kern w:val="0"/>
        </w:rPr>
      </w:pPr>
      <w:r>
        <w:rPr>
          <w:rFonts w:hint="eastAsia" w:ascii="仿宋_GB2312" w:hAnsi="宋体" w:eastAsia="仿宋_GB2312"/>
          <w:color w:val="auto"/>
          <w:kern w:val="0"/>
        </w:rPr>
        <w:t>支出包括：其他支出85万元，主要用于福利彩票工作人员的人员支出及日常公用支出等费用。</w:t>
      </w:r>
    </w:p>
    <w:p>
      <w:pPr>
        <w:spacing w:line="560" w:lineRule="exact"/>
        <w:ind w:left="959" w:leftChars="152" w:hanging="640" w:hanging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克孜勒苏柯尔克孜自治州福利彩票发行中心2021</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克孜勒苏柯尔克孜自治州福利彩票发行中心2021年一般公共预算拨款合计0万元，比上年预算增加 0万元，增长0%。主要原因是：2021年未安排基本支出相关预算，2020年未纳入预算，所以无法比较数据。</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其他支出（类：229）0万元，占0%。</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其他支出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：229</w:t>
      </w:r>
      <w:r>
        <w:rPr>
          <w:rFonts w:ascii="仿宋_GB2312" w:hAnsi="宋体" w:eastAsia="仿宋_GB2312" w:cs="宋体"/>
          <w:kern w:val="0"/>
          <w:sz w:val="32"/>
          <w:szCs w:val="32"/>
        </w:rPr>
        <w:t>）</w:t>
      </w:r>
      <w:r>
        <w:rPr>
          <w:rFonts w:hint="eastAsia" w:ascii="仿宋_GB2312" w:hAnsi="宋体" w:eastAsia="仿宋_GB2312" w:cs="宋体"/>
          <w:kern w:val="0"/>
          <w:sz w:val="32"/>
          <w:szCs w:val="32"/>
        </w:rPr>
        <w:t>福利彩票销售机构的业务费安排的支出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：08）福利彩票销售机构的业务费支出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：04</w:t>
      </w:r>
      <w:r>
        <w:rPr>
          <w:rFonts w:ascii="仿宋_GB2312" w:hAnsi="宋体" w:eastAsia="仿宋_GB2312" w:cs="宋体"/>
          <w:kern w:val="0"/>
          <w:sz w:val="32"/>
          <w:szCs w:val="32"/>
        </w:rPr>
        <w:t>）:</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比上年预算增加0万元，增长0%，主要原因是：无一般公共预算。</w:t>
      </w:r>
    </w:p>
    <w:p>
      <w:pPr>
        <w:numPr>
          <w:ilvl w:val="0"/>
          <w:numId w:val="2"/>
        </w:num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关于</w:t>
      </w:r>
      <w:r>
        <w:rPr>
          <w:rFonts w:hint="eastAsia" w:ascii="黑体" w:hAnsi="黑体" w:eastAsia="黑体"/>
          <w:kern w:val="0"/>
          <w:sz w:val="32"/>
          <w:szCs w:val="32"/>
        </w:rPr>
        <w:t>克孜勒苏柯尔克孜自治州2021</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克孜勒苏柯尔克孜自治州福利彩票发行中心2021年一般公共预算基本支出 0万元，其中：</w:t>
      </w:r>
    </w:p>
    <w:p>
      <w:pPr>
        <w:pStyle w:val="2"/>
        <w:ind w:firstLine="640"/>
        <w:rPr>
          <w:rFonts w:ascii="仿宋_GB2312" w:hAnsi="宋体" w:eastAsia="仿宋_GB2312"/>
          <w:color w:val="auto"/>
          <w:kern w:val="0"/>
        </w:rPr>
      </w:pPr>
      <w:r>
        <w:rPr>
          <w:rFonts w:hint="eastAsia" w:ascii="仿宋_GB2312" w:hAnsi="宋体" w:eastAsia="仿宋_GB2312"/>
          <w:color w:val="auto"/>
          <w:kern w:val="0"/>
        </w:rPr>
        <w:t>人员经费0万元。</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公用经费0万元</w:t>
      </w:r>
    </w:p>
    <w:p>
      <w:pPr>
        <w:numPr>
          <w:ilvl w:val="0"/>
          <w:numId w:val="2"/>
        </w:numPr>
        <w:spacing w:line="560" w:lineRule="exact"/>
        <w:ind w:firstLine="640" w:firstLineChars="200"/>
        <w:rPr>
          <w:rFonts w:ascii="仿宋_GB2312" w:hAnsi="黑体" w:eastAsia="仿宋_GB2312"/>
          <w:b/>
          <w:sz w:val="32"/>
          <w:szCs w:val="32"/>
        </w:rPr>
      </w:pPr>
      <w:r>
        <w:rPr>
          <w:rFonts w:hint="eastAsia" w:ascii="黑体" w:hAnsi="宋体" w:eastAsia="黑体" w:cs="宋体"/>
          <w:kern w:val="0"/>
          <w:sz w:val="32"/>
          <w:szCs w:val="32"/>
        </w:rPr>
        <w:t>关于</w:t>
      </w:r>
      <w:r>
        <w:rPr>
          <w:rFonts w:hint="eastAsia" w:ascii="黑体" w:hAnsi="黑体" w:eastAsia="黑体"/>
          <w:kern w:val="0"/>
          <w:sz w:val="32"/>
          <w:szCs w:val="32"/>
        </w:rPr>
        <w:t>克孜勒苏柯尔克孜自治州福利彩票发行中心2021</w:t>
      </w:r>
      <w:r>
        <w:rPr>
          <w:rFonts w:hint="eastAsia" w:ascii="黑体" w:hAnsi="宋体" w:eastAsia="黑体" w:cs="宋体"/>
          <w:kern w:val="0"/>
          <w:sz w:val="32"/>
          <w:szCs w:val="32"/>
        </w:rPr>
        <w:t>年一般公共预算项目支出情况说明</w:t>
      </w:r>
    </w:p>
    <w:p>
      <w:pPr>
        <w:pStyle w:val="2"/>
        <w:tabs>
          <w:tab w:val="left" w:pos="635"/>
        </w:tabs>
        <w:ind w:firstLine="640"/>
        <w:rPr>
          <w:rFonts w:ascii="仿宋_GB2312" w:hAnsi="黑体" w:eastAsia="仿宋_GB2312" w:cs="Times New Roman"/>
          <w:b/>
          <w:color w:val="auto"/>
        </w:rPr>
      </w:pPr>
      <w:r>
        <w:rPr>
          <w:rFonts w:hint="eastAsia" w:ascii="仿宋_GB2312" w:hAnsi="黑体" w:eastAsia="仿宋_GB2312" w:cs="Times New Roman"/>
          <w:b/>
          <w:color w:val="auto"/>
        </w:rPr>
        <w:t>情况一：（项目支出、专项业务费按下列内容说明）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项目名称：业务费支出</w:t>
      </w:r>
    </w:p>
    <w:p>
      <w:pPr>
        <w:spacing w:line="560" w:lineRule="exact"/>
        <w:ind w:left="958" w:leftChars="304" w:hanging="320" w:hangingChars="100"/>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设立的政策依据：克州民政局会议纪要【2020】第9期</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预算安排规模：85万元</w:t>
      </w:r>
    </w:p>
    <w:p>
      <w:pPr>
        <w:spacing w:line="560" w:lineRule="exact"/>
        <w:ind w:left="2878" w:leftChars="304" w:hanging="2240" w:hangingChars="700"/>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项目承担单位：克州福利彩票发行中心</w:t>
      </w:r>
    </w:p>
    <w:p>
      <w:pPr>
        <w:spacing w:line="560" w:lineRule="exact"/>
        <w:ind w:left="319" w:leftChars="152" w:firstLine="320" w:firstLineChars="100"/>
        <w:rPr>
          <w:rFonts w:ascii="仿宋" w:hAnsi="仿宋" w:eastAsia="仿宋" w:cs="仿宋"/>
          <w:kern w:val="0"/>
          <w:sz w:val="32"/>
          <w:szCs w:val="32"/>
        </w:rPr>
      </w:pPr>
      <w:r>
        <w:rPr>
          <w:rFonts w:hint="eastAsia" w:ascii="仿宋_GB2312" w:hAnsi="宋体" w:eastAsia="仿宋_GB2312" w:cs="宋体"/>
          <w:kern w:val="0"/>
          <w:sz w:val="32"/>
          <w:szCs w:val="32"/>
        </w:rPr>
        <w:t>资金分配情况：承担全州福利彩票发行中心工作人员工资、社保、公积金和</w:t>
      </w:r>
      <w:r>
        <w:rPr>
          <w:rFonts w:hint="eastAsia" w:ascii="仿宋" w:hAnsi="仿宋" w:eastAsia="仿宋" w:cs="仿宋"/>
          <w:color w:val="000000"/>
          <w:sz w:val="32"/>
          <w:szCs w:val="32"/>
        </w:rPr>
        <w:t>日常工作正常运行开支，有水、电、暖、物业、办公费、人员差旅费等费用，保证2021年福利彩票销售目标任务顺利完成提供后勤保障。</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资金执行时间：2021年全年</w:t>
      </w:r>
    </w:p>
    <w:p>
      <w:pPr>
        <w:spacing w:line="560" w:lineRule="exact"/>
        <w:ind w:firstLine="640" w:firstLineChars="200"/>
        <w:rPr>
          <w:rFonts w:ascii="仿宋_GB2312" w:hAnsi="黑体" w:eastAsia="仿宋_GB2312"/>
          <w:b/>
          <w:sz w:val="32"/>
          <w:szCs w:val="32"/>
        </w:rPr>
      </w:pPr>
      <w:r>
        <w:rPr>
          <w:rFonts w:hint="eastAsia" w:ascii="仿宋_GB2312" w:hAnsi="黑体" w:eastAsia="仿宋_GB2312"/>
          <w:b/>
          <w:sz w:val="32"/>
          <w:szCs w:val="32"/>
        </w:rPr>
        <w:t>情况二：（</w:t>
      </w:r>
      <w:r>
        <w:rPr>
          <w:rFonts w:ascii="仿宋_GB2312" w:hAnsi="宋体" w:eastAsia="仿宋_GB2312"/>
          <w:b/>
          <w:sz w:val="32"/>
          <w:szCs w:val="22"/>
        </w:rPr>
        <w:t>属于</w:t>
      </w:r>
      <w:r>
        <w:rPr>
          <w:rFonts w:ascii="仿宋_GB2312" w:hAnsi="宋体" w:eastAsia="仿宋_GB2312"/>
          <w:b/>
          <w:spacing w:val="-8"/>
          <w:sz w:val="32"/>
          <w:szCs w:val="22"/>
        </w:rPr>
        <w:t>对个人补贴的项目支出</w:t>
      </w:r>
      <w:r>
        <w:rPr>
          <w:rFonts w:hint="eastAsia" w:ascii="仿宋_GB2312" w:hAnsi="黑体" w:eastAsia="仿宋_GB2312"/>
          <w:b/>
          <w:sz w:val="32"/>
          <w:szCs w:val="32"/>
        </w:rPr>
        <w:t>按下列内容说明）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：无</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：无</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：无</w:t>
      </w:r>
    </w:p>
    <w:p>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_GB2312" w:hAnsi="黑体" w:eastAsia="仿宋_GB2312"/>
          <w:sz w:val="32"/>
          <w:szCs w:val="32"/>
        </w:rPr>
        <w:t>无</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：无</w:t>
      </w:r>
    </w:p>
    <w:p>
      <w:pPr>
        <w:spacing w:line="560" w:lineRule="exact"/>
        <w:ind w:left="320" w:hanging="320" w:hangingChars="1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黑体" w:eastAsia="黑体"/>
          <w:kern w:val="0"/>
          <w:sz w:val="32"/>
          <w:szCs w:val="32"/>
        </w:rPr>
        <w:t>克孜勒苏柯尔克孜自治州福利彩票发行中心2021</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克孜勒苏柯尔克孜自治州福利彩票发行中心2021年一般公共预算“三公”经费数为0万元，其中：因公出国（境）费 0万元，公务用车购置 0 万元，公务用车运行费0万元，公务接待费 0万元。</w:t>
      </w:r>
    </w:p>
    <w:p>
      <w:pPr>
        <w:spacing w:line="560" w:lineRule="exact"/>
        <w:ind w:firstLine="640" w:firstLineChars="200"/>
        <w:rPr>
          <w:rFonts w:ascii="仿宋_GB2312" w:hAnsi="宋体" w:eastAsia="仿宋_GB2312" w:cs="宋体"/>
          <w:kern w:val="0"/>
          <w:sz w:val="32"/>
          <w:szCs w:val="32"/>
          <w:highlight w:val="black"/>
        </w:rPr>
      </w:pPr>
      <w:r>
        <w:rPr>
          <w:rFonts w:hint="eastAsia" w:ascii="仿宋_GB2312" w:hAnsi="宋体" w:eastAsia="仿宋_GB2312" w:cs="宋体"/>
          <w:kern w:val="0"/>
          <w:sz w:val="32"/>
          <w:szCs w:val="32"/>
        </w:rPr>
        <w:t>2021年一般公共预算“三公”经费比上年增加0万元，其中：因公出国（境）费增加0万元，主要原因是未安排预算；公务用车购置费为0，未安排预算；公务用车运行费增加0万元，主要原因是未安排预算；公务接待费增加0万元，主要原因是未安排预算。</w:t>
      </w:r>
    </w:p>
    <w:p>
      <w:pPr>
        <w:spacing w:line="560" w:lineRule="exact"/>
        <w:ind w:left="420" w:leftChars="200"/>
        <w:rPr>
          <w:rFonts w:ascii="仿宋_GB2312" w:hAnsi="宋体" w:eastAsia="仿宋_GB2312" w:cs="宋体"/>
          <w:kern w:val="0"/>
          <w:sz w:val="32"/>
          <w:szCs w:val="32"/>
        </w:rPr>
      </w:pPr>
      <w:r>
        <w:rPr>
          <w:rFonts w:hint="eastAsia" w:ascii="黑体" w:hAnsi="宋体" w:eastAsia="黑体" w:cs="宋体"/>
          <w:kern w:val="0"/>
          <w:sz w:val="32"/>
          <w:szCs w:val="32"/>
        </w:rPr>
        <w:t>九、关于</w:t>
      </w:r>
      <w:r>
        <w:rPr>
          <w:rFonts w:hint="eastAsia" w:ascii="黑体" w:hAnsi="黑体" w:eastAsia="黑体"/>
          <w:kern w:val="0"/>
          <w:sz w:val="32"/>
          <w:szCs w:val="32"/>
        </w:rPr>
        <w:t>克孜勒苏柯尔克孜自治州福利彩票发行中心2021</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克孜勒苏柯尔克孜自治州福利彩票发行中心2021年政府性基金支出预算支出85万元。与上年预算增加85万元，主要原因是上年无做预算安排。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2021年，克孜勒苏柯尔克孜自治州福利彩票发行中心本级行政单位0和 0家事业单位的机关运行经费财政拨款预算0万元，比上年预算增加0万元。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2021年，克孜勒苏柯尔克孜自治州福利彩票发行中心采购预算4.5万元，其中：政府采购货物预算4.5万元，政府采购工程预算0万元，政府采购服务预算 0 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2021年度本部门（单位）面向中小企业预留政府采购项目预算金额 0万元，其中：面向小微企业预留政府采购项目预算金额0 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截至2020年底，克孜勒苏柯尔克孜自治州福利彩票发行中心及下属各预算单位占用使用国有资产总体情况为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 65平方米，价值 10万元。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2.车辆1 辆，价值 17万元；其中：一般公务用车 1 辆，价值17万元；执法执勤用车0辆，价值0万元；其他车辆 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4.其他资产价值49万元。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0台（套），单位价值100万元以上大型设备 0 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2021年部门（单位）预算未安排购置车辆经费（或安排购置车辆经费0万元），安排购置50万元以上大型设备0 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2021年度，本年度实行绩效管理的一般公共预算项目1 个，涉及预算金额85万元。具体情况见下表（按项目分别填报）：</w:t>
      </w:r>
    </w:p>
    <w:tbl>
      <w:tblPr>
        <w:tblStyle w:val="8"/>
        <w:tblW w:w="8520" w:type="dxa"/>
        <w:tblInd w:w="0" w:type="dxa"/>
        <w:tblLayout w:type="fixed"/>
        <w:tblCellMar>
          <w:top w:w="0" w:type="dxa"/>
          <w:left w:w="0" w:type="dxa"/>
          <w:bottom w:w="0" w:type="dxa"/>
          <w:right w:w="0" w:type="dxa"/>
        </w:tblCellMar>
      </w:tblPr>
      <w:tblGrid>
        <w:gridCol w:w="928"/>
        <w:gridCol w:w="1628"/>
        <w:gridCol w:w="958"/>
        <w:gridCol w:w="1427"/>
        <w:gridCol w:w="887"/>
        <w:gridCol w:w="1549"/>
        <w:gridCol w:w="1143"/>
      </w:tblGrid>
      <w:tr>
        <w:tblPrEx>
          <w:tblCellMar>
            <w:top w:w="0" w:type="dxa"/>
            <w:left w:w="0" w:type="dxa"/>
            <w:bottom w:w="0" w:type="dxa"/>
            <w:right w:w="0" w:type="dxa"/>
          </w:tblCellMar>
        </w:tblPrEx>
        <w:trPr>
          <w:trHeight w:val="6337" w:hRule="atLeast"/>
        </w:trPr>
        <w:tc>
          <w:tcPr>
            <w:tcW w:w="8520" w:type="dxa"/>
            <w:gridSpan w:val="7"/>
            <w:tcBorders>
              <w:top w:val="nil"/>
              <w:left w:val="nil"/>
              <w:bottom w:val="nil"/>
              <w:right w:val="nil"/>
            </w:tcBorders>
            <w:tcMar>
              <w:top w:w="12" w:type="dxa"/>
              <w:left w:w="12" w:type="dxa"/>
              <w:right w:w="12" w:type="dxa"/>
            </w:tcMar>
            <w:vAlign w:val="bottom"/>
          </w:tcPr>
          <w:p>
            <w:pPr>
              <w:widowControl/>
              <w:spacing w:line="480" w:lineRule="exact"/>
              <w:ind w:firstLine="960" w:firstLineChars="300"/>
              <w:textAlignment w:val="bottom"/>
              <w:rPr>
                <w:rFonts w:ascii="仿宋_GB2312" w:hAnsi="宋体" w:eastAsia="仿宋_GB2312" w:cs="仿宋_GB2312"/>
                <w:b/>
                <w:color w:val="000000"/>
                <w:kern w:val="0"/>
                <w:sz w:val="32"/>
                <w:szCs w:val="32"/>
              </w:rPr>
            </w:pPr>
          </w:p>
          <w:p>
            <w:pPr>
              <w:widowControl/>
              <w:spacing w:line="480" w:lineRule="exact"/>
              <w:ind w:firstLine="960" w:firstLineChars="300"/>
              <w:textAlignment w:val="bottom"/>
              <w:rPr>
                <w:rFonts w:ascii="仿宋_GB2312" w:hAnsi="宋体" w:eastAsia="仿宋_GB2312" w:cs="仿宋_GB2312"/>
                <w:b/>
                <w:color w:val="000000"/>
                <w:kern w:val="0"/>
                <w:sz w:val="32"/>
                <w:szCs w:val="32"/>
              </w:rPr>
            </w:pPr>
          </w:p>
          <w:p>
            <w:pPr>
              <w:widowControl/>
              <w:spacing w:line="480" w:lineRule="exact"/>
              <w:ind w:firstLine="960" w:firstLineChars="300"/>
              <w:textAlignment w:val="bottom"/>
              <w:rPr>
                <w:rFonts w:ascii="仿宋_GB2312" w:hAnsi="宋体" w:eastAsia="仿宋_GB2312" w:cs="仿宋_GB2312"/>
                <w:b/>
                <w:color w:val="000000"/>
                <w:kern w:val="0"/>
                <w:sz w:val="32"/>
                <w:szCs w:val="32"/>
              </w:rPr>
            </w:pPr>
          </w:p>
          <w:p>
            <w:pPr>
              <w:widowControl/>
              <w:spacing w:line="480" w:lineRule="exact"/>
              <w:ind w:firstLine="960" w:firstLineChars="300"/>
              <w:textAlignment w:val="bottom"/>
              <w:rPr>
                <w:rFonts w:ascii="仿宋_GB2312" w:hAnsi="宋体" w:eastAsia="仿宋_GB2312" w:cs="仿宋_GB2312"/>
                <w:b/>
                <w:color w:val="000000"/>
                <w:kern w:val="0"/>
                <w:sz w:val="32"/>
                <w:szCs w:val="32"/>
              </w:rPr>
            </w:pPr>
          </w:p>
          <w:p>
            <w:pPr>
              <w:widowControl/>
              <w:spacing w:line="480" w:lineRule="exact"/>
              <w:ind w:firstLine="960" w:firstLineChars="300"/>
              <w:textAlignment w:val="bottom"/>
              <w:rPr>
                <w:rFonts w:ascii="仿宋_GB2312" w:hAnsi="宋体" w:eastAsia="仿宋_GB2312" w:cs="仿宋_GB2312"/>
                <w:b/>
                <w:color w:val="000000"/>
                <w:kern w:val="0"/>
                <w:sz w:val="32"/>
                <w:szCs w:val="32"/>
              </w:rPr>
            </w:pPr>
          </w:p>
          <w:p>
            <w:pPr>
              <w:widowControl/>
              <w:spacing w:line="480" w:lineRule="exact"/>
              <w:ind w:firstLine="960" w:firstLineChars="300"/>
              <w:textAlignment w:val="bottom"/>
              <w:rPr>
                <w:rFonts w:ascii="仿宋_GB2312" w:hAnsi="宋体" w:eastAsia="仿宋_GB2312" w:cs="仿宋_GB2312"/>
                <w:b/>
                <w:color w:val="000000"/>
                <w:kern w:val="0"/>
                <w:sz w:val="32"/>
                <w:szCs w:val="32"/>
              </w:rPr>
            </w:pPr>
          </w:p>
          <w:p>
            <w:pPr>
              <w:widowControl/>
              <w:spacing w:line="480" w:lineRule="exact"/>
              <w:ind w:firstLine="960" w:firstLineChars="300"/>
              <w:textAlignment w:val="bottom"/>
              <w:rPr>
                <w:rFonts w:ascii="仿宋_GB2312" w:hAnsi="宋体" w:eastAsia="仿宋_GB2312" w:cs="仿宋_GB2312"/>
                <w:b/>
                <w:color w:val="000000"/>
                <w:kern w:val="0"/>
                <w:sz w:val="32"/>
                <w:szCs w:val="32"/>
              </w:rPr>
            </w:pPr>
          </w:p>
          <w:p>
            <w:pPr>
              <w:widowControl/>
              <w:spacing w:line="480" w:lineRule="exact"/>
              <w:textAlignment w:val="bottom"/>
              <w:rPr>
                <w:rFonts w:ascii="仿宋_GB2312" w:hAnsi="宋体" w:eastAsia="仿宋_GB2312" w:cs="仿宋_GB2312"/>
                <w:b/>
                <w:color w:val="000000"/>
                <w:kern w:val="0"/>
                <w:sz w:val="32"/>
                <w:szCs w:val="32"/>
              </w:rPr>
            </w:pPr>
          </w:p>
          <w:p>
            <w:pPr>
              <w:widowControl/>
              <w:spacing w:line="480" w:lineRule="exact"/>
              <w:ind w:firstLine="960" w:firstLineChars="300"/>
              <w:textAlignment w:val="bottom"/>
              <w:rPr>
                <w:rFonts w:ascii="仿宋_GB2312" w:hAnsi="宋体" w:eastAsia="仿宋_GB2312" w:cs="仿宋_GB2312"/>
                <w:b/>
                <w:color w:val="000000"/>
                <w:kern w:val="0"/>
                <w:sz w:val="32"/>
                <w:szCs w:val="32"/>
              </w:rPr>
            </w:pPr>
          </w:p>
          <w:p>
            <w:pPr>
              <w:widowControl/>
              <w:spacing w:line="480" w:lineRule="exact"/>
              <w:ind w:firstLine="960" w:firstLineChars="300"/>
              <w:textAlignment w:val="bottom"/>
              <w:rPr>
                <w:rFonts w:ascii="仿宋_GB2312" w:hAnsi="宋体" w:eastAsia="仿宋_GB2312" w:cs="仿宋_GB2312"/>
                <w:b/>
                <w:color w:val="000000"/>
                <w:kern w:val="0"/>
                <w:sz w:val="32"/>
                <w:szCs w:val="32"/>
              </w:rPr>
            </w:pPr>
          </w:p>
          <w:p>
            <w:pPr>
              <w:widowControl/>
              <w:spacing w:line="480" w:lineRule="exact"/>
              <w:ind w:firstLine="960" w:firstLineChars="300"/>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blPrEx>
          <w:tblCellMar>
            <w:top w:w="0" w:type="dxa"/>
            <w:left w:w="0" w:type="dxa"/>
            <w:bottom w:w="0" w:type="dxa"/>
            <w:right w:w="0" w:type="dxa"/>
          </w:tblCellMar>
        </w:tblPrEx>
        <w:trPr>
          <w:trHeight w:val="498" w:hRule="atLeast"/>
        </w:trPr>
        <w:tc>
          <w:tcPr>
            <w:tcW w:w="8520"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（2021年）</w:t>
            </w:r>
          </w:p>
        </w:tc>
      </w:tr>
      <w:tr>
        <w:tblPrEx>
          <w:tblCellMar>
            <w:top w:w="0" w:type="dxa"/>
            <w:left w:w="0" w:type="dxa"/>
            <w:bottom w:w="0" w:type="dxa"/>
            <w:right w:w="0" w:type="dxa"/>
          </w:tblCellMar>
        </w:tblPrEx>
        <w:trPr>
          <w:trHeight w:val="529"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4013"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20"/>
                <w:szCs w:val="20"/>
              </w:rPr>
              <w:t>克孜勒苏柯尔克孜自治州福利彩票发行中心</w:t>
            </w:r>
          </w:p>
        </w:tc>
        <w:tc>
          <w:tcPr>
            <w:tcW w:w="8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9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业务经费</w:t>
            </w:r>
          </w:p>
        </w:tc>
      </w:tr>
      <w:tr>
        <w:tblPrEx>
          <w:tblCellMar>
            <w:top w:w="0" w:type="dxa"/>
            <w:left w:w="0" w:type="dxa"/>
            <w:bottom w:w="0" w:type="dxa"/>
            <w:right w:w="0" w:type="dxa"/>
          </w:tblCellMar>
        </w:tblPrEx>
        <w:trPr>
          <w:trHeight w:val="995"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85</w:t>
            </w:r>
          </w:p>
        </w:tc>
        <w:tc>
          <w:tcPr>
            <w:tcW w:w="1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8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r>
              <w:rPr>
                <w:rFonts w:hint="eastAsia" w:ascii="宋体" w:hAnsi="宋体" w:cs="宋体"/>
                <w:color w:val="000000"/>
                <w:sz w:val="18"/>
                <w:szCs w:val="18"/>
              </w:rPr>
              <w:t xml:space="preserve">  85</w:t>
            </w:r>
          </w:p>
        </w:tc>
        <w:tc>
          <w:tcPr>
            <w:tcW w:w="154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4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CellMar>
            <w:top w:w="0" w:type="dxa"/>
            <w:left w:w="0" w:type="dxa"/>
            <w:bottom w:w="0" w:type="dxa"/>
            <w:right w:w="0" w:type="dxa"/>
          </w:tblCellMar>
        </w:tblPrEx>
        <w:trPr>
          <w:trHeight w:val="1137"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59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保障我中心日常工作正常运行开支，有水、电、物业、办公费、人员差旅费等，保证2021年福利彩票销售目标任务顺利完成提供后勤保障。</w:t>
            </w:r>
          </w:p>
        </w:tc>
      </w:tr>
      <w:tr>
        <w:tblPrEx>
          <w:tblCellMar>
            <w:top w:w="0" w:type="dxa"/>
            <w:left w:w="0" w:type="dxa"/>
            <w:bottom w:w="0" w:type="dxa"/>
            <w:right w:w="0" w:type="dxa"/>
          </w:tblCellMar>
        </w:tblPrEx>
        <w:trPr>
          <w:trHeight w:val="508"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27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9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0" w:type="dxa"/>
            <w:left w:w="0" w:type="dxa"/>
            <w:bottom w:w="0" w:type="dxa"/>
            <w:right w:w="0" w:type="dxa"/>
          </w:tblCellMar>
        </w:tblPrEx>
        <w:trPr>
          <w:trHeight w:val="468" w:hRule="atLeast"/>
        </w:trPr>
        <w:tc>
          <w:tcPr>
            <w:tcW w:w="92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62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3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彩票保障人员人数（人）</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w:t>
            </w:r>
          </w:p>
        </w:tc>
      </w:tr>
      <w:tr>
        <w:tblPrEx>
          <w:tblCellMar>
            <w:top w:w="0" w:type="dxa"/>
            <w:left w:w="0" w:type="dxa"/>
            <w:bottom w:w="0" w:type="dxa"/>
            <w:right w:w="0" w:type="dxa"/>
          </w:tblCellMar>
        </w:tblPrEx>
        <w:trPr>
          <w:trHeight w:val="468" w:hRule="atLeast"/>
        </w:trPr>
        <w:tc>
          <w:tcPr>
            <w:tcW w:w="9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6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Cs w:val="21"/>
              </w:rPr>
            </w:pPr>
          </w:p>
        </w:tc>
        <w:tc>
          <w:tcPr>
            <w:tcW w:w="3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保障车辆数（辆)</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w:t>
            </w:r>
          </w:p>
        </w:tc>
      </w:tr>
      <w:tr>
        <w:tblPrEx>
          <w:tblCellMar>
            <w:top w:w="0" w:type="dxa"/>
            <w:left w:w="0" w:type="dxa"/>
            <w:bottom w:w="0" w:type="dxa"/>
            <w:right w:w="0" w:type="dxa"/>
          </w:tblCellMar>
        </w:tblPrEx>
        <w:trPr>
          <w:trHeight w:val="468" w:hRule="atLeast"/>
        </w:trPr>
        <w:tc>
          <w:tcPr>
            <w:tcW w:w="9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6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Cs w:val="21"/>
              </w:rPr>
            </w:pPr>
          </w:p>
        </w:tc>
        <w:tc>
          <w:tcPr>
            <w:tcW w:w="3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地区本级财政公益金收入（万元）</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w:t>
            </w:r>
            <w:r>
              <w:rPr>
                <w:rFonts w:hint="eastAsia" w:ascii="宋体" w:hAnsi="宋体" w:cs="宋体"/>
                <w:color w:val="000000"/>
                <w:kern w:val="0"/>
                <w:szCs w:val="21"/>
              </w:rPr>
              <w:t>400</w:t>
            </w:r>
          </w:p>
        </w:tc>
      </w:tr>
      <w:tr>
        <w:tblPrEx>
          <w:tblCellMar>
            <w:top w:w="0" w:type="dxa"/>
            <w:left w:w="0" w:type="dxa"/>
            <w:bottom w:w="0" w:type="dxa"/>
            <w:right w:w="0" w:type="dxa"/>
          </w:tblCellMar>
        </w:tblPrEx>
        <w:trPr>
          <w:trHeight w:val="508" w:hRule="atLeast"/>
        </w:trPr>
        <w:tc>
          <w:tcPr>
            <w:tcW w:w="9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3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彩票库存账实相符率(%)</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=100</w:t>
            </w:r>
          </w:p>
        </w:tc>
      </w:tr>
      <w:tr>
        <w:tblPrEx>
          <w:tblCellMar>
            <w:top w:w="0" w:type="dxa"/>
            <w:left w:w="0" w:type="dxa"/>
            <w:bottom w:w="0" w:type="dxa"/>
            <w:right w:w="0" w:type="dxa"/>
          </w:tblCellMar>
        </w:tblPrEx>
        <w:trPr>
          <w:trHeight w:val="468" w:hRule="atLeast"/>
        </w:trPr>
        <w:tc>
          <w:tcPr>
            <w:tcW w:w="9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62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3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项目完成时间</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2021年12月</w:t>
            </w:r>
          </w:p>
        </w:tc>
      </w:tr>
      <w:tr>
        <w:tblPrEx>
          <w:tblCellMar>
            <w:top w:w="0" w:type="dxa"/>
            <w:left w:w="0" w:type="dxa"/>
            <w:bottom w:w="0" w:type="dxa"/>
            <w:right w:w="0" w:type="dxa"/>
          </w:tblCellMar>
        </w:tblPrEx>
        <w:trPr>
          <w:trHeight w:val="468" w:hRule="atLeast"/>
        </w:trPr>
        <w:tc>
          <w:tcPr>
            <w:tcW w:w="9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6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Cs w:val="21"/>
              </w:rPr>
            </w:pPr>
          </w:p>
        </w:tc>
        <w:tc>
          <w:tcPr>
            <w:tcW w:w="3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资金拨付及时率（%）</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r>
      <w:tr>
        <w:tblPrEx>
          <w:tblCellMar>
            <w:top w:w="0" w:type="dxa"/>
            <w:left w:w="0" w:type="dxa"/>
            <w:bottom w:w="0" w:type="dxa"/>
            <w:right w:w="0" w:type="dxa"/>
          </w:tblCellMar>
        </w:tblPrEx>
        <w:trPr>
          <w:trHeight w:val="508" w:hRule="atLeast"/>
        </w:trPr>
        <w:tc>
          <w:tcPr>
            <w:tcW w:w="9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3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Cs w:val="21"/>
              </w:rPr>
            </w:pPr>
            <w:r>
              <w:rPr>
                <w:rFonts w:ascii="宋体" w:hAnsi="宋体" w:cs="宋体"/>
                <w:color w:val="000000"/>
                <w:szCs w:val="21"/>
              </w:rPr>
              <w:t>销售业务及机构运行经费（万元）</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Style w:val="24"/>
                <w:sz w:val="21"/>
                <w:szCs w:val="21"/>
              </w:rPr>
              <w:t>≤</w:t>
            </w:r>
            <w:r>
              <w:rPr>
                <w:rStyle w:val="24"/>
                <w:rFonts w:hint="eastAsia"/>
                <w:sz w:val="21"/>
                <w:szCs w:val="21"/>
              </w:rPr>
              <w:t>85</w:t>
            </w:r>
          </w:p>
        </w:tc>
      </w:tr>
      <w:tr>
        <w:tblPrEx>
          <w:tblCellMar>
            <w:top w:w="0" w:type="dxa"/>
            <w:left w:w="0" w:type="dxa"/>
            <w:bottom w:w="0" w:type="dxa"/>
            <w:right w:w="0" w:type="dxa"/>
          </w:tblCellMar>
        </w:tblPrEx>
        <w:trPr>
          <w:trHeight w:val="654" w:hRule="atLeast"/>
        </w:trPr>
        <w:tc>
          <w:tcPr>
            <w:tcW w:w="92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经济效益指标</w:t>
            </w:r>
          </w:p>
        </w:tc>
        <w:tc>
          <w:tcPr>
            <w:tcW w:w="3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保证2021年日常业务正常运转，增加彩票发行费收入</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有所提高</w:t>
            </w:r>
          </w:p>
        </w:tc>
      </w:tr>
      <w:tr>
        <w:tblPrEx>
          <w:tblCellMar>
            <w:top w:w="0" w:type="dxa"/>
            <w:left w:w="0" w:type="dxa"/>
            <w:bottom w:w="0" w:type="dxa"/>
            <w:right w:w="0" w:type="dxa"/>
          </w:tblCellMar>
        </w:tblPrEx>
        <w:trPr>
          <w:trHeight w:val="508" w:hRule="atLeast"/>
        </w:trPr>
        <w:tc>
          <w:tcPr>
            <w:tcW w:w="9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社会效益指标</w:t>
            </w:r>
          </w:p>
        </w:tc>
        <w:tc>
          <w:tcPr>
            <w:tcW w:w="3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提升社会公益事业的贡献度</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有效提升</w:t>
            </w:r>
          </w:p>
        </w:tc>
      </w:tr>
      <w:tr>
        <w:tblPrEx>
          <w:tblCellMar>
            <w:top w:w="0" w:type="dxa"/>
            <w:left w:w="0" w:type="dxa"/>
            <w:bottom w:w="0" w:type="dxa"/>
            <w:right w:w="0" w:type="dxa"/>
          </w:tblCellMar>
        </w:tblPrEx>
        <w:trPr>
          <w:trHeight w:val="508" w:hRule="atLeast"/>
        </w:trPr>
        <w:tc>
          <w:tcPr>
            <w:tcW w:w="9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生态效益指标</w:t>
            </w:r>
          </w:p>
        </w:tc>
        <w:tc>
          <w:tcPr>
            <w:tcW w:w="3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cs="宋体"/>
                <w:color w:val="000000"/>
                <w:szCs w:val="21"/>
              </w:rPr>
            </w:pP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r>
      <w:tr>
        <w:tblPrEx>
          <w:tblCellMar>
            <w:top w:w="0" w:type="dxa"/>
            <w:left w:w="0" w:type="dxa"/>
            <w:bottom w:w="0" w:type="dxa"/>
            <w:right w:w="0" w:type="dxa"/>
          </w:tblCellMar>
        </w:tblPrEx>
        <w:trPr>
          <w:trHeight w:val="508" w:hRule="atLeast"/>
        </w:trPr>
        <w:tc>
          <w:tcPr>
            <w:tcW w:w="92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可持续影响指标</w:t>
            </w:r>
          </w:p>
        </w:tc>
        <w:tc>
          <w:tcPr>
            <w:tcW w:w="32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Cs w:val="21"/>
              </w:rPr>
            </w:pP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cs="宋体"/>
                <w:color w:val="000000"/>
                <w:szCs w:val="21"/>
              </w:rPr>
            </w:pPr>
          </w:p>
        </w:tc>
      </w:tr>
      <w:tr>
        <w:tblPrEx>
          <w:tblCellMar>
            <w:top w:w="0" w:type="dxa"/>
            <w:left w:w="0" w:type="dxa"/>
            <w:bottom w:w="0" w:type="dxa"/>
            <w:right w:w="0" w:type="dxa"/>
          </w:tblCellMar>
        </w:tblPrEx>
        <w:trPr>
          <w:trHeight w:val="518" w:hRule="atLeast"/>
        </w:trPr>
        <w:tc>
          <w:tcPr>
            <w:tcW w:w="9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327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Cs w:val="21"/>
              </w:rPr>
            </w:pPr>
            <w:r>
              <w:rPr>
                <w:rFonts w:hint="eastAsia" w:ascii="宋体" w:hAnsi="宋体" w:cs="宋体"/>
                <w:color w:val="000000"/>
                <w:szCs w:val="21"/>
              </w:rPr>
              <w:t>代销者满意度（%））</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≧90</w:t>
            </w:r>
          </w:p>
        </w:tc>
      </w:tr>
    </w:tbl>
    <w:p>
      <w:pPr>
        <w:widowControl/>
        <w:spacing w:line="480" w:lineRule="exact"/>
        <w:rPr>
          <w:rFonts w:ascii="仿宋_GB2312" w:hAnsi="宋体" w:eastAsia="仿宋_GB2312" w:cs="宋体"/>
          <w:kern w:val="0"/>
          <w:sz w:val="32"/>
          <w:szCs w:val="32"/>
        </w:rPr>
      </w:pPr>
    </w:p>
    <w:p>
      <w:pPr>
        <w:widowControl/>
        <w:spacing w:line="480" w:lineRule="exact"/>
        <w:rPr>
          <w:rFonts w:ascii="仿宋_GB2312" w:hAnsi="宋体" w:eastAsia="仿宋_GB2312" w:cs="宋体"/>
          <w:kern w:val="0"/>
          <w:sz w:val="32"/>
          <w:szCs w:val="32"/>
        </w:rPr>
      </w:pPr>
    </w:p>
    <w:p>
      <w:pPr>
        <w:widowControl/>
        <w:spacing w:line="480" w:lineRule="exact"/>
        <w:rPr>
          <w:rFonts w:ascii="仿宋_GB2312" w:hAnsi="宋体" w:eastAsia="仿宋_GB2312" w:cs="宋体"/>
          <w:kern w:val="0"/>
          <w:sz w:val="32"/>
          <w:szCs w:val="32"/>
        </w:rPr>
      </w:pPr>
    </w:p>
    <w:p>
      <w:pPr>
        <w:widowControl/>
        <w:spacing w:line="480" w:lineRule="exact"/>
        <w:rPr>
          <w:rFonts w:ascii="仿宋_GB2312" w:hAnsi="宋体" w:eastAsia="仿宋_GB2312" w:cs="宋体"/>
          <w:kern w:val="0"/>
          <w:sz w:val="32"/>
          <w:szCs w:val="32"/>
        </w:rPr>
      </w:pPr>
    </w:p>
    <w:p>
      <w:pPr>
        <w:widowControl/>
        <w:spacing w:line="480" w:lineRule="exact"/>
        <w:rPr>
          <w:rFonts w:ascii="仿宋_GB2312" w:hAnsi="宋体" w:eastAsia="仿宋_GB2312" w:cs="宋体"/>
          <w:kern w:val="0"/>
          <w:sz w:val="32"/>
          <w:szCs w:val="32"/>
        </w:rPr>
      </w:pPr>
    </w:p>
    <w:p>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cols w:space="720" w:num="1"/>
          <w:docGrid w:type="lines" w:linePitch="312" w:charSpace="0"/>
        </w:sectPr>
      </w:pPr>
    </w:p>
    <w:p>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eastAsia="仿宋_GB2312"/>
          <w:sz w:val="32"/>
          <w:szCs w:val="32"/>
        </w:rPr>
        <w:t xml:space="preserve"> 克孜勒苏柯尔克孜自治州福利彩票发行中心无其他说明事项</w:t>
      </w:r>
    </w:p>
    <w:p>
      <w:pPr>
        <w:spacing w:line="560" w:lineRule="exac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二、其他资金：</w:t>
      </w:r>
      <w:r>
        <w:rPr>
          <w:rFonts w:hint="eastAsia" w:ascii="仿宋_GB2312" w:eastAsia="仿宋_GB2312"/>
          <w:sz w:val="32"/>
          <w:szCs w:val="32"/>
        </w:rPr>
        <w:t>包括其他收入。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部门（单位）支出预算的组成部分，是自治区本级部门（单位）为完成其特定的行政任务或事业发展目标，在基本支出预算之外编制的年度项目支出计划。</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pict>
          <v:shape id="CXJWordControl1" o:spid="_x0000_s2050" o:spt="201" alt="" type="#_x0000_t201" style="position:absolute;left:0pt;margin-left:265.05pt;margin-top:-38pt;height:120.8pt;width:120.8pt;z-index:-251657216;mso-width-relative:page;mso-height-relative:page;" o:ole="t" filled="f" o:preferrelative="t" stroked="f" coordsize="21600,21600">
            <v:path/>
            <v:fill on="f" focussize="0,0"/>
            <v:stroke on="f"/>
            <v:imagedata r:id="rId11" o:title=""/>
            <o:lock v:ext="edit" aspectratio="f"/>
          </v:shape>
          <w:control r:id="rId10" w:name="CXJWordControl1" w:shapeid="CXJWordControl1"/>
        </w:pict>
      </w:r>
      <w:r>
        <w:rPr>
          <w:rFonts w:hint="eastAsia" w:ascii="仿宋_GB2312" w:hAnsi="宋体" w:eastAsia="仿宋_GB2312" w:cs="宋体"/>
          <w:kern w:val="0"/>
          <w:sz w:val="32"/>
          <w:szCs w:val="32"/>
        </w:rPr>
        <w:t xml:space="preserve">                    克孜勒苏柯尔克孜自治州福利彩票发行中心</w:t>
      </w:r>
    </w:p>
    <w:p>
      <w:pPr>
        <w:widowControl/>
        <w:spacing w:line="520" w:lineRule="exact"/>
        <w:jc w:val="left"/>
        <w:rPr>
          <w:rFonts w:ascii="仿宋_GB2312" w:eastAsia="仿宋_GB2312"/>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5日</w:t>
      </w:r>
    </w:p>
    <w:p>
      <w:pPr>
        <w:spacing w:line="600" w:lineRule="exact"/>
        <w:rPr>
          <w:rFonts w:ascii="仿宋_GB2312" w:eastAsia="仿宋_GB2312"/>
          <w:sz w:val="32"/>
          <w:szCs w:val="32"/>
        </w:rPr>
      </w:pPr>
    </w:p>
    <w:sectPr>
      <w:footerReference r:id="rId5" w:type="default"/>
      <w:footerReference r:id="rId6" w:type="even"/>
      <w:pgSz w:w="11906" w:h="16838"/>
      <w:pgMar w:top="2041" w:right="1276" w:bottom="2041" w:left="1276" w:header="851" w:footer="1814" w:gutter="0"/>
      <w:pgNumType w:fmt="numberInDash"/>
      <w:cols w:space="720"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Arial Unicode MS"/>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- 21 -</w:t>
                </w:r>
                <w: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1027" o:spid="_x0000_s1027"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- 22 -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756" w:y="37"/>
      <w:rPr>
        <w:rStyle w:val="12"/>
        <w:rFonts w:ascii="宋体" w:hAnsi="宋体" w:eastAsia="宋体"/>
        <w:sz w:val="28"/>
        <w:szCs w:val="28"/>
      </w:rPr>
    </w:pP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- 34 -</w:t>
    </w:r>
    <w:r>
      <w:rPr>
        <w:rFonts w:ascii="宋体" w:hAnsi="宋体" w:eastAsia="宋体"/>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3C143"/>
    <w:multiLevelType w:val="singleLevel"/>
    <w:tmpl w:val="8003C143"/>
    <w:lvl w:ilvl="0" w:tentative="0">
      <w:start w:val="6"/>
      <w:numFmt w:val="chineseCounting"/>
      <w:suff w:val="nothing"/>
      <w:lvlText w:val="%1、"/>
      <w:lvlJc w:val="left"/>
      <w:rPr>
        <w:rFonts w:hint="eastAsia"/>
      </w:rPr>
    </w:lvl>
  </w:abstractNum>
  <w:abstractNum w:abstractNumId="1">
    <w:nsid w:val="4BF932BD"/>
    <w:multiLevelType w:val="singleLevel"/>
    <w:tmpl w:val="4BF932B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1" w:cryptProviderType="rsaFull" w:cryptAlgorithmClass="hash" w:cryptAlgorithmType="typeAny" w:cryptAlgorithmSid="4" w:cryptSpinCount="0" w:hash="7zKVJ9y6K3jduaZKv/iaIFYVqJU=" w:salt="l+2d/tu9eUg4+TRi+3ax1Q=="/>
  <w:defaultTabStop w:val="420"/>
  <w:drawingGridHorizontalSpacing w:val="213"/>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05BF"/>
    <w:rsid w:val="00054ABF"/>
    <w:rsid w:val="0009522A"/>
    <w:rsid w:val="000C2AA9"/>
    <w:rsid w:val="00121764"/>
    <w:rsid w:val="001662FE"/>
    <w:rsid w:val="00172C01"/>
    <w:rsid w:val="00186398"/>
    <w:rsid w:val="001D3009"/>
    <w:rsid w:val="002166BA"/>
    <w:rsid w:val="00324290"/>
    <w:rsid w:val="00396814"/>
    <w:rsid w:val="003B4B5F"/>
    <w:rsid w:val="003C61E3"/>
    <w:rsid w:val="00432267"/>
    <w:rsid w:val="004422D6"/>
    <w:rsid w:val="00493EEC"/>
    <w:rsid w:val="004C06DA"/>
    <w:rsid w:val="004F62F9"/>
    <w:rsid w:val="00520D5A"/>
    <w:rsid w:val="006A3660"/>
    <w:rsid w:val="006B6A8C"/>
    <w:rsid w:val="007219F8"/>
    <w:rsid w:val="007E2CEA"/>
    <w:rsid w:val="009035BA"/>
    <w:rsid w:val="00950B98"/>
    <w:rsid w:val="0096028F"/>
    <w:rsid w:val="0099744C"/>
    <w:rsid w:val="009C6198"/>
    <w:rsid w:val="00A9706D"/>
    <w:rsid w:val="00B83DF6"/>
    <w:rsid w:val="00BA582F"/>
    <w:rsid w:val="00BF5F0E"/>
    <w:rsid w:val="00C117E5"/>
    <w:rsid w:val="00CA4E1E"/>
    <w:rsid w:val="00CE5389"/>
    <w:rsid w:val="00D23502"/>
    <w:rsid w:val="00DC05BF"/>
    <w:rsid w:val="00E569BC"/>
    <w:rsid w:val="00EF4090"/>
    <w:rsid w:val="00F23808"/>
    <w:rsid w:val="00F54FE8"/>
    <w:rsid w:val="00F830A1"/>
    <w:rsid w:val="00F83503"/>
    <w:rsid w:val="00F90952"/>
    <w:rsid w:val="01AE1103"/>
    <w:rsid w:val="0AEC0EA9"/>
    <w:rsid w:val="0CAE01CA"/>
    <w:rsid w:val="0E56358B"/>
    <w:rsid w:val="1C427A2E"/>
    <w:rsid w:val="1EA1738D"/>
    <w:rsid w:val="21574B7A"/>
    <w:rsid w:val="30817D37"/>
    <w:rsid w:val="43631A72"/>
    <w:rsid w:val="48A475F8"/>
    <w:rsid w:val="4D231934"/>
    <w:rsid w:val="5A4B6200"/>
    <w:rsid w:val="5F887051"/>
    <w:rsid w:val="60530DD4"/>
    <w:rsid w:val="708D2A63"/>
    <w:rsid w:val="7A5769BE"/>
    <w:rsid w:val="7BE97E01"/>
    <w:rsid w:val="7C1B45E1"/>
    <w:rsid w:val="7DE67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ind w:firstLine="200" w:firstLineChars="200"/>
      <w:outlineLvl w:val="2"/>
    </w:pPr>
    <w:rPr>
      <w:rFonts w:ascii="仿宋" w:hAnsi="仿宋" w:cs="宋体"/>
      <w:color w:val="FF000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qFormat/>
    <w:uiPriority w:val="0"/>
    <w:rPr>
      <w:rFonts w:asciiTheme="minorHAnsi" w:hAnsiTheme="minorHAnsi" w:eastAsiaTheme="minorEastAsia" w:cstheme="minorBidi"/>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rFonts w:cs="Times New Roman"/>
      <w:b/>
      <w:bCs/>
    </w:rPr>
  </w:style>
  <w:style w:type="character" w:styleId="12">
    <w:name w:val="page number"/>
    <w:basedOn w:val="10"/>
    <w:qFormat/>
    <w:uiPriority w:val="0"/>
  </w:style>
  <w:style w:type="character" w:customStyle="1" w:styleId="13">
    <w:name w:val="页眉 Char"/>
    <w:basedOn w:val="10"/>
    <w:link w:val="5"/>
    <w:qFormat/>
    <w:uiPriority w:val="0"/>
    <w:rPr>
      <w:sz w:val="18"/>
      <w:szCs w:val="18"/>
    </w:rPr>
  </w:style>
  <w:style w:type="character" w:customStyle="1" w:styleId="14">
    <w:name w:val="页脚 Char"/>
    <w:basedOn w:val="10"/>
    <w:link w:val="4"/>
    <w:qFormat/>
    <w:uiPriority w:val="99"/>
    <w:rPr>
      <w:sz w:val="18"/>
      <w:szCs w:val="18"/>
    </w:rPr>
  </w:style>
  <w:style w:type="character" w:customStyle="1" w:styleId="15">
    <w:name w:val="批注框文本 Char"/>
    <w:link w:val="3"/>
    <w:semiHidden/>
    <w:qFormat/>
    <w:uiPriority w:val="0"/>
    <w:rPr>
      <w:sz w:val="18"/>
      <w:szCs w:val="18"/>
    </w:rPr>
  </w:style>
  <w:style w:type="character" w:customStyle="1" w:styleId="16">
    <w:name w:val="正文文本缩进 3 Char"/>
    <w:link w:val="6"/>
    <w:qFormat/>
    <w:uiPriority w:val="0"/>
    <w:rPr>
      <w:rFonts w:eastAsia="仿宋_GB2312"/>
      <w:sz w:val="32"/>
      <w:szCs w:val="24"/>
    </w:rPr>
  </w:style>
  <w:style w:type="paragraph" w:customStyle="1" w:styleId="17">
    <w:name w:val="普通(网站)2"/>
    <w:basedOn w:val="1"/>
    <w:qFormat/>
    <w:uiPriority w:val="0"/>
    <w:rPr>
      <w:rFonts w:ascii="Calibri" w:hAnsi="Calibri" w:cs="黑体"/>
      <w:sz w:val="24"/>
    </w:rPr>
  </w:style>
  <w:style w:type="character" w:customStyle="1" w:styleId="18">
    <w:name w:val="正文文本缩进 3 字符1"/>
    <w:basedOn w:val="10"/>
    <w:semiHidden/>
    <w:qFormat/>
    <w:uiPriority w:val="99"/>
    <w:rPr>
      <w:rFonts w:ascii="Times New Roman" w:hAnsi="Times New Roman" w:eastAsia="宋体" w:cs="Times New Roman"/>
      <w:sz w:val="16"/>
      <w:szCs w:val="16"/>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普通(网站)3"/>
    <w:basedOn w:val="1"/>
    <w:qFormat/>
    <w:uiPriority w:val="0"/>
    <w:rPr>
      <w:rFonts w:ascii="Calibri" w:hAnsi="Calibri" w:cs="黑体"/>
      <w:sz w:val="24"/>
    </w:rPr>
  </w:style>
  <w:style w:type="character" w:customStyle="1" w:styleId="21">
    <w:name w:val="批注框文本 字符1"/>
    <w:basedOn w:val="10"/>
    <w:semiHidden/>
    <w:qFormat/>
    <w:uiPriority w:val="99"/>
    <w:rPr>
      <w:rFonts w:ascii="Times New Roman" w:hAnsi="Times New Roman" w:eastAsia="宋体" w:cs="Times New Roman"/>
      <w:sz w:val="18"/>
      <w:szCs w:val="18"/>
    </w:rPr>
  </w:style>
  <w:style w:type="paragraph" w:customStyle="1" w:styleId="2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3">
    <w:name w:val="普通(网站)1"/>
    <w:basedOn w:val="1"/>
    <w:qFormat/>
    <w:uiPriority w:val="0"/>
    <w:rPr>
      <w:rFonts w:ascii="Calibri" w:hAnsi="Calibri" w:cs="黑体"/>
      <w:sz w:val="24"/>
    </w:rPr>
  </w:style>
  <w:style w:type="character" w:customStyle="1" w:styleId="24">
    <w:name w:val="font01"/>
    <w:basedOn w:val="10"/>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C805F2D2-2984-45C2-8689-0E4DC4E42471}" r:id="rId1" ax:persistence="persistStorage"/>
</file>

<file path=word/activeX/activeX2.xml><?xml version="1.0" encoding="utf-8"?>
<ax:ocx xmlns:ax="http://schemas.microsoft.com/office/2006/activeX" xmlns:r="http://schemas.openxmlformats.org/officeDocument/2006/relationships" ax:classid="{C805F2D2-2984-45C2-8689-0E4DC4E42471}"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5625</Words>
  <Characters>6010</Characters>
  <Lines>65</Lines>
  <Paragraphs>18</Paragraphs>
  <TotalTime>23</TotalTime>
  <ScaleCrop>false</ScaleCrop>
  <LinksUpToDate>false</LinksUpToDate>
  <CharactersWithSpaces>7207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2021-02-07T10:41:00Z</dcterms:created>
  <dc:creator>薛理升</dc:creator>
  <cp:lastModifiedBy>a翟俊浩</cp:lastModifiedBy>
  <dcterms:modified xsi:type="dcterms:W3CDTF">2021-08-18T08:59:39Z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AE94292906F2411682D30FF64B8DB239</vt:lpwstr>
  </property>
</Properties>
</file>