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克孜勒苏柯尔克孜自治州人民医院2021年</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bookmarkStart w:id="0" w:name="_GoBack"/>
      <w:bookmarkEnd w:id="0"/>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克孜勒苏柯尔克孜自治州人民医院概况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2021年部门（单位）预算公开表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2021年部门（单位）预算情况说明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一、关于克孜勒苏柯尔克孜自治州人民医院2021年收支预算情况的总体说明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二、关于克孜勒苏柯尔克孜自治州人民医院2021年收入预算情况说明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三、关于克孜勒苏柯尔克孜自治州人民医院2021年支出预算情况说明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克孜勒苏柯尔克孜自治州人民医院2021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五、关于克孜勒苏柯尔克孜自治州人民医院2021年一般公共预算当年拨款情况说明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六、关于克孜勒苏柯尔克孜自治州人民医院2021年一般公共预算基本支出情况说明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七、关于克孜勒苏柯尔克孜自治州人民医院2021年一般公共预算项目支出情况说明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八、关于克孜勒苏柯尔克孜自治州人民医院2021年一般公共预算“三公”经费预算情况说明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九、关于克孜勒苏柯尔克孜自治州人民医院2021年政府性基金预算拨款情况说明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克孜勒苏柯尔克孜自治州人民医院概况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hint="eastAsia" w:ascii="仿宋_GB2312" w:hAnsi="黑体" w:eastAsia="仿宋_GB2312" w:cs="宋体"/>
          <w:bCs/>
          <w:color w:val="000000" w:themeColor="text1"/>
          <w:kern w:val="0"/>
          <w:sz w:val="32"/>
          <w:szCs w:val="32"/>
        </w:rPr>
        <w:t xml:space="preserve">    加强和规范公立医院机构编制管理，优化医疗卫生资源配置，提高医疗卫生服务质量和管理水平，坚持精简、统一、效能的原则，突出办医重点，提升医院基本医疗服务能力的宗旨，克州人民医院医院被核定事业编制652名，目前全院实有职工767名。医院编制床位1500张，根据《关于印发新疆维吾尔自治区公立医院机构编制管理暂行规定》（克党编[2019]13号）文件精神及三级医院评审要求。</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克孜勒苏柯尔克孜自治州人民医院无下属预算单位，下设71个科室，分别是：行政职能部门23个：</w:t>
      </w:r>
      <w:r>
        <w:rPr>
          <w:rFonts w:hint="eastAsia" w:ascii="仿宋_GB2312" w:hAnsi="黑体" w:eastAsia="仿宋_GB2312" w:cs="宋体"/>
          <w:bCs/>
          <w:color w:val="000000" w:themeColor="text1"/>
          <w:kern w:val="0"/>
          <w:sz w:val="32"/>
          <w:szCs w:val="32"/>
        </w:rPr>
        <w:t>党政综合办公室、工会、团委、纪检审计部、组织与人力资源部、宣传统战科、财务部、运营管理部、医保科、招标办、采购办、医学装备部、后勤保障部、医务部、科研教学部、健康管理中心、东院综合办公室、洗涤消毒供应中心、康复技能培训科、护理部、信息部、传染病分院建设办公室、公卫与院感管理部</w:t>
      </w:r>
      <w:r>
        <w:rPr>
          <w:rFonts w:hint="eastAsia" w:ascii="仿宋_GB2312" w:hAnsi="黑体" w:eastAsia="仿宋_GB2312" w:cs="宋体"/>
          <w:bCs/>
          <w:kern w:val="0"/>
          <w:sz w:val="32"/>
          <w:szCs w:val="32"/>
        </w:rPr>
        <w:t>；临床科室33个：呼吸与危重症医学科、神经内科、消化科、血液科、心血管内科、风湿免疫科、内分泌科、感染性疾病科、肾病内科、综合病区、全科医学科、老年医学科、中医科、皮肤科、急救中心、急诊病房、重症医学科、肿瘤科、疼痛科、心理医学科、儿科、新生儿科、康复医学科、妇科、产科、普通外科、神经外科、骨科、心胸外科、泌尿外科、眼科、耳鼻喉科、麻醉与围术期医学科；门诊科室5个：门诊管理办公室、发热门诊、针灸理疗科、口腔门诊、眼科门诊；医技科室10个：营养科、放射影像中心、临检中心、输血科、药学部、超声科、心功能科、介入室、柯尔克孜民族医药研究院、病理科。</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克孜勒苏柯尔克孜自治州人民医院</w:t>
      </w:r>
      <w:r>
        <w:rPr>
          <w:rFonts w:hint="eastAsia" w:ascii="仿宋_GB2312" w:hAnsi="宋体" w:eastAsia="仿宋_GB2312" w:cs="宋体"/>
          <w:kern w:val="0"/>
          <w:sz w:val="32"/>
          <w:szCs w:val="32"/>
        </w:rPr>
        <w:t>编制数 652，实有人数1066人，其中：在职767人，减少17人； 退休298人，减少2人；离休1人，增加0人。</w:t>
      </w: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r>
        <w:rPr>
          <w:rFonts w:hint="eastAsia" w:ascii="黑体" w:hAnsi="黑体" w:eastAsia="黑体"/>
          <w:kern w:val="0"/>
          <w:sz w:val="32"/>
          <w:szCs w:val="32"/>
        </w:rPr>
        <w:t>第二部分  2021年部门（单位）预算公开表</w:t>
      </w: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编制部门（单位）：克孜勒苏柯尔克孜自治州人民医院                 单位：万元</w:t>
      </w:r>
    </w:p>
    <w:tbl>
      <w:tblPr>
        <w:tblStyle w:val="7"/>
        <w:tblW w:w="9513" w:type="dxa"/>
        <w:tblInd w:w="93" w:type="dxa"/>
        <w:tblLayout w:type="fixed"/>
        <w:tblCellMar>
          <w:top w:w="0" w:type="dxa"/>
          <w:left w:w="108" w:type="dxa"/>
          <w:bottom w:w="0" w:type="dxa"/>
          <w:right w:w="108" w:type="dxa"/>
        </w:tblCellMar>
      </w:tblPr>
      <w:tblGrid>
        <w:gridCol w:w="3417"/>
        <w:gridCol w:w="1701"/>
        <w:gridCol w:w="3119"/>
        <w:gridCol w:w="1276"/>
      </w:tblGrid>
      <w:tr>
        <w:tblPrEx>
          <w:tblLayout w:type="fixed"/>
          <w:tblCellMar>
            <w:top w:w="0" w:type="dxa"/>
            <w:left w:w="108" w:type="dxa"/>
            <w:bottom w:w="0" w:type="dxa"/>
            <w:right w:w="108" w:type="dxa"/>
          </w:tblCellMar>
        </w:tblPrEx>
        <w:trPr>
          <w:trHeight w:val="300"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收入</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支出</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功能分类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r>
      <w:tr>
        <w:tblPrEx>
          <w:tblLayout w:type="fixed"/>
          <w:tblCellMar>
            <w:top w:w="0" w:type="dxa"/>
            <w:left w:w="108" w:type="dxa"/>
            <w:bottom w:w="0" w:type="dxa"/>
            <w:right w:w="108" w:type="dxa"/>
          </w:tblCellMar>
        </w:tblPrEx>
        <w:trPr>
          <w:trHeight w:val="300" w:hRule="atLeast"/>
        </w:trPr>
        <w:tc>
          <w:tcPr>
            <w:tcW w:w="3417"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一、财政拨款（补助）</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10,046.61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201 一般公共服务支出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一般公共预算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10,046.61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202 外交支出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政府性基金预算</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203 国防支出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国有资本经营预算</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204 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教育收费（财政专户）</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205 教育支出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事业收入</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206 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上级补助收入</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207 文化体育与传媒支出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事业单位经营收入</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37,584.82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208 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单位其他资金收入</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2,335.00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209 社会保险基金支出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上级专项收入</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3,012.00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210 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60,826.31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211 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212 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213 农林水支出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214 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215 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216 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217 金融支出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219 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220 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221 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222 粮油物资管理支出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223 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224 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227 预备费</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9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229 其他支出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20"/>
                <w:szCs w:val="20"/>
              </w:rPr>
              <w:t>230 转移性支出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231 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232 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233 债务发行费支出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20"/>
                <w:szCs w:val="20"/>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234 抗疫特别国债安排的支出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收      入      总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52978.43</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支   出  总   计</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60,826.31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编制部门（单位）：克孜勒苏柯尔克孜自治州人民医院                 单位：万元</w:t>
      </w:r>
    </w:p>
    <w:tbl>
      <w:tblPr>
        <w:tblStyle w:val="7"/>
        <w:tblW w:w="10339" w:type="dxa"/>
        <w:tblInd w:w="-450" w:type="dxa"/>
        <w:tblLayout w:type="fixed"/>
        <w:tblCellMar>
          <w:top w:w="0" w:type="dxa"/>
          <w:left w:w="108" w:type="dxa"/>
          <w:bottom w:w="0" w:type="dxa"/>
          <w:right w:w="108" w:type="dxa"/>
        </w:tblCellMar>
      </w:tblPr>
      <w:tblGrid>
        <w:gridCol w:w="558"/>
        <w:gridCol w:w="426"/>
        <w:gridCol w:w="425"/>
        <w:gridCol w:w="992"/>
        <w:gridCol w:w="1134"/>
        <w:gridCol w:w="1134"/>
        <w:gridCol w:w="567"/>
        <w:gridCol w:w="425"/>
        <w:gridCol w:w="426"/>
        <w:gridCol w:w="914"/>
        <w:gridCol w:w="315"/>
        <w:gridCol w:w="300"/>
        <w:gridCol w:w="795"/>
        <w:gridCol w:w="794"/>
        <w:gridCol w:w="316"/>
        <w:gridCol w:w="818"/>
      </w:tblGrid>
      <w:tr>
        <w:tblPrEx>
          <w:tblLayout w:type="fixed"/>
          <w:tblCellMar>
            <w:top w:w="0" w:type="dxa"/>
            <w:left w:w="108" w:type="dxa"/>
            <w:bottom w:w="0" w:type="dxa"/>
            <w:right w:w="108" w:type="dxa"/>
          </w:tblCellMar>
        </w:tblPrEx>
        <w:trPr>
          <w:trHeight w:val="2671" w:hRule="atLeast"/>
        </w:trPr>
        <w:tc>
          <w:tcPr>
            <w:tcW w:w="14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9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113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113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2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426"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国有资本经营预算</w:t>
            </w:r>
          </w:p>
        </w:tc>
        <w:tc>
          <w:tcPr>
            <w:tcW w:w="91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315"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30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9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794"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316"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18"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210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04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09　</w:t>
            </w:r>
          </w:p>
        </w:tc>
        <w:tc>
          <w:tcPr>
            <w:tcW w:w="9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6"/>
                <w:szCs w:val="20"/>
              </w:rPr>
            </w:pPr>
            <w:r>
              <w:rPr>
                <w:rFonts w:hint="eastAsia" w:ascii="仿宋_GB2312" w:eastAsia="仿宋_GB2312"/>
                <w:color w:val="000000"/>
                <w:sz w:val="16"/>
                <w:szCs w:val="20"/>
              </w:rPr>
              <w:t>重大公共卫生服务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23.88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16"/>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16"/>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r>
              <w:rPr>
                <w:rFonts w:hint="eastAsia" w:ascii="仿宋_GB2312" w:eastAsia="仿宋_GB2312"/>
                <w:color w:val="000000"/>
                <w:sz w:val="16"/>
                <w:szCs w:val="20"/>
              </w:rPr>
              <w:t>23.88</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210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02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99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6"/>
                <w:szCs w:val="20"/>
              </w:rPr>
            </w:pPr>
            <w:r>
              <w:rPr>
                <w:rFonts w:hint="eastAsia" w:ascii="仿宋_GB2312" w:eastAsia="仿宋_GB2312"/>
                <w:color w:val="000000"/>
                <w:sz w:val="16"/>
                <w:szCs w:val="20"/>
              </w:rPr>
              <w:t>其他公立医院支出</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14652.00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16"/>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1500.00　</w:t>
            </w:r>
          </w:p>
        </w:tc>
        <w:tc>
          <w:tcPr>
            <w:tcW w:w="315" w:type="dxa"/>
            <w:tcBorders>
              <w:top w:val="nil"/>
              <w:left w:val="nil"/>
              <w:bottom w:val="single" w:color="auto" w:sz="4" w:space="0"/>
              <w:right w:val="nil"/>
            </w:tcBorders>
          </w:tcPr>
          <w:p>
            <w:pPr>
              <w:jc w:val="right"/>
              <w:rPr>
                <w:rFonts w:ascii="仿宋_GB2312" w:eastAsia="仿宋_GB2312"/>
                <w:color w:val="000000"/>
                <w:sz w:val="16"/>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2335.00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r>
              <w:rPr>
                <w:rFonts w:hint="eastAsia" w:ascii="仿宋_GB2312" w:eastAsia="仿宋_GB2312"/>
                <w:color w:val="000000"/>
                <w:sz w:val="16"/>
                <w:szCs w:val="20"/>
              </w:rPr>
              <w:t>3012.00</w:t>
            </w: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r>
              <w:rPr>
                <w:rFonts w:hint="eastAsia" w:ascii="仿宋_GB2312" w:eastAsia="仿宋_GB2312"/>
                <w:color w:val="000000"/>
                <w:sz w:val="16"/>
                <w:szCs w:val="20"/>
              </w:rPr>
              <w:t>7805.00</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210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02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01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6"/>
                <w:szCs w:val="20"/>
              </w:rPr>
            </w:pPr>
            <w:r>
              <w:rPr>
                <w:rFonts w:hint="eastAsia" w:ascii="仿宋_GB2312" w:eastAsia="仿宋_GB2312"/>
                <w:color w:val="000000"/>
                <w:sz w:val="16"/>
                <w:szCs w:val="20"/>
              </w:rPr>
              <w:t>综合医院</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46131.43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10046.61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16"/>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36084.82　</w:t>
            </w:r>
          </w:p>
        </w:tc>
        <w:tc>
          <w:tcPr>
            <w:tcW w:w="315" w:type="dxa"/>
            <w:tcBorders>
              <w:top w:val="nil"/>
              <w:left w:val="nil"/>
              <w:bottom w:val="single" w:color="auto" w:sz="4" w:space="0"/>
              <w:right w:val="nil"/>
            </w:tcBorders>
          </w:tcPr>
          <w:p>
            <w:pPr>
              <w:jc w:val="right"/>
              <w:rPr>
                <w:rFonts w:ascii="仿宋_GB2312" w:eastAsia="仿宋_GB2312"/>
                <w:color w:val="000000"/>
                <w:sz w:val="16"/>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210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99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99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6"/>
                <w:szCs w:val="20"/>
              </w:rPr>
            </w:pPr>
            <w:r>
              <w:rPr>
                <w:rFonts w:hint="eastAsia" w:ascii="仿宋_GB2312" w:eastAsia="仿宋_GB2312"/>
                <w:color w:val="000000"/>
                <w:sz w:val="16"/>
                <w:szCs w:val="20"/>
              </w:rPr>
              <w:t>其他卫生健康支出</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19.00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16"/>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16"/>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r>
              <w:rPr>
                <w:rFonts w:hint="eastAsia" w:ascii="仿宋_GB2312" w:eastAsia="仿宋_GB2312"/>
                <w:color w:val="000000"/>
                <w:sz w:val="16"/>
                <w:szCs w:val="20"/>
              </w:rPr>
              <w:t>19.00</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87"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60826.31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10046.61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18"/>
                <w:szCs w:val="20"/>
              </w:rPr>
              <w:t>37584.82</w:t>
            </w: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2335.00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16"/>
                <w:szCs w:val="20"/>
              </w:rPr>
              <w:t>3012.00</w:t>
            </w: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13"/>
                <w:szCs w:val="20"/>
              </w:rPr>
              <w:t>7847.88</w:t>
            </w:r>
          </w:p>
        </w:tc>
      </w:tr>
    </w:tbl>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编制部门（单位）：克孜勒苏柯尔克孜自治州人民医院                 单位：万元</w:t>
      </w:r>
    </w:p>
    <w:tbl>
      <w:tblPr>
        <w:tblStyle w:val="7"/>
        <w:tblW w:w="9420" w:type="dxa"/>
        <w:tblInd w:w="-240" w:type="dxa"/>
        <w:tblLayout w:type="fixed"/>
        <w:tblCellMar>
          <w:top w:w="0" w:type="dxa"/>
          <w:left w:w="108" w:type="dxa"/>
          <w:bottom w:w="0" w:type="dxa"/>
          <w:right w:w="108" w:type="dxa"/>
        </w:tblCellMar>
      </w:tblPr>
      <w:tblGrid>
        <w:gridCol w:w="632"/>
        <w:gridCol w:w="425"/>
        <w:gridCol w:w="425"/>
        <w:gridCol w:w="2323"/>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48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32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32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rPr>
                <w:rFonts w:ascii="宋体" w:hAnsi="宋体" w:cs="宋体"/>
                <w:b/>
                <w:bCs/>
                <w:color w:val="000000"/>
                <w:kern w:val="0"/>
                <w:sz w:val="22"/>
                <w:szCs w:val="22"/>
              </w:rPr>
            </w:pPr>
            <w:r>
              <w:rPr>
                <w:rFonts w:hint="eastAsia" w:ascii="宋体" w:hAnsi="宋体" w:cs="宋体"/>
                <w:b/>
                <w:bCs/>
                <w:color w:val="000000"/>
                <w:kern w:val="0"/>
                <w:sz w:val="22"/>
                <w:szCs w:val="22"/>
              </w:rPr>
              <w:t xml:space="preserve">   卫生健康支出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23.88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23.88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04</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ind w:firstLine="442" w:firstLineChars="200"/>
              <w:rPr>
                <w:rFonts w:ascii="宋体" w:hAnsi="宋体" w:cs="宋体"/>
                <w:b/>
                <w:bCs/>
                <w:color w:val="000000"/>
                <w:kern w:val="0"/>
                <w:sz w:val="22"/>
                <w:szCs w:val="22"/>
              </w:rPr>
            </w:pPr>
            <w:r>
              <w:rPr>
                <w:rFonts w:hint="eastAsia" w:ascii="宋体" w:hAnsi="宋体" w:cs="宋体"/>
                <w:b/>
                <w:bCs/>
                <w:color w:val="000000"/>
                <w:kern w:val="0"/>
                <w:sz w:val="22"/>
                <w:szCs w:val="22"/>
              </w:rPr>
              <w:t>公共卫生</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23.88</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23.88</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04</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09</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重大公共卫生服务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23.88</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23.88</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卫生健康支出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60783.43</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46131.43</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14652.00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02</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公立医院</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60783.43</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46131.43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14652.00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02</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其他公立医院支出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14652.00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14652.00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02</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综合医院</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46131.43</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46131.43</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卫生健康支出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19.00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19.00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99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0"/>
                <w:szCs w:val="20"/>
              </w:rPr>
              <w:t>其他一般公共服务支出</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19.00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19.00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99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99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其他卫生健康支出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19.00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19.00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60826.31</w:t>
            </w:r>
          </w:p>
        </w:tc>
        <w:tc>
          <w:tcPr>
            <w:tcW w:w="185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46131.43</w:t>
            </w:r>
          </w:p>
        </w:tc>
        <w:tc>
          <w:tcPr>
            <w:tcW w:w="1904"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14694.88</w:t>
            </w:r>
          </w:p>
        </w:tc>
      </w:tr>
    </w:tbl>
    <w:p>
      <w:pPr>
        <w:widowControl/>
        <w:spacing w:beforeLines="50" w:line="280" w:lineRule="exact"/>
        <w:outlineLvl w:val="1"/>
        <w:rPr>
          <w:rFonts w:ascii="仿宋_GB2312" w:hAnsi="宋体" w:eastAsia="仿宋_GB2312"/>
          <w:b/>
          <w:kern w:val="0"/>
          <w:sz w:val="32"/>
          <w:szCs w:val="32"/>
        </w:rPr>
      </w:pPr>
    </w:p>
    <w:p>
      <w:pPr>
        <w:widowControl/>
        <w:spacing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jc w:val="left"/>
        <w:outlineLvl w:val="1"/>
        <w:rPr>
          <w:rFonts w:ascii="仿宋_GB2312" w:hAnsi="宋体" w:eastAsia="仿宋_GB2312"/>
          <w:kern w:val="0"/>
          <w:szCs w:val="21"/>
        </w:rPr>
      </w:pPr>
      <w:r>
        <w:rPr>
          <w:rFonts w:hint="eastAsia" w:ascii="仿宋_GB2312" w:hAnsi="宋体" w:eastAsia="仿宋_GB2312"/>
          <w:kern w:val="0"/>
          <w:szCs w:val="21"/>
        </w:rPr>
        <w:t>编制部门（单位）：克孜勒苏柯尔克孜自治州人民医院                       单位：万元</w:t>
      </w:r>
    </w:p>
    <w:tbl>
      <w:tblPr>
        <w:tblStyle w:val="7"/>
        <w:tblW w:w="9846" w:type="dxa"/>
        <w:tblInd w:w="-240" w:type="dxa"/>
        <w:tblLayout w:type="fixed"/>
        <w:tblCellMar>
          <w:top w:w="0" w:type="dxa"/>
          <w:left w:w="108" w:type="dxa"/>
          <w:bottom w:w="0" w:type="dxa"/>
          <w:right w:w="108" w:type="dxa"/>
        </w:tblCellMar>
      </w:tblPr>
      <w:tblGrid>
        <w:gridCol w:w="1620"/>
        <w:gridCol w:w="941"/>
        <w:gridCol w:w="2869"/>
        <w:gridCol w:w="1014"/>
        <w:gridCol w:w="1134"/>
        <w:gridCol w:w="1134"/>
        <w:gridCol w:w="1134"/>
      </w:tblGrid>
      <w:tr>
        <w:tblPrEx>
          <w:tblLayout w:type="fixed"/>
          <w:tblCellMar>
            <w:top w:w="0" w:type="dxa"/>
            <w:left w:w="108" w:type="dxa"/>
            <w:bottom w:w="0" w:type="dxa"/>
            <w:right w:w="108" w:type="dxa"/>
          </w:tblCellMar>
        </w:tblPrEx>
        <w:trPr>
          <w:trHeight w:val="285" w:hRule="atLeast"/>
        </w:trPr>
        <w:tc>
          <w:tcPr>
            <w:tcW w:w="2561"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151" w:type="dxa"/>
            <w:gridSpan w:val="4"/>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left w:val="nil"/>
              <w:bottom w:val="single" w:color="auto" w:sz="4" w:space="0"/>
              <w:right w:val="single" w:color="000000" w:sz="4" w:space="0"/>
            </w:tcBorders>
          </w:tcPr>
          <w:p>
            <w:pPr>
              <w:widowControl/>
              <w:spacing w:line="280" w:lineRule="exact"/>
              <w:jc w:val="center"/>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94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8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01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nil"/>
              <w:left w:val="nil"/>
              <w:bottom w:val="single" w:color="auto" w:sz="4" w:space="0"/>
              <w:right w:val="single" w:color="auto" w:sz="4" w:space="0"/>
            </w:tcBorders>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国有资本经营预算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94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10046.611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94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10046.61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94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6"/>
                <w:szCs w:val="18"/>
              </w:rPr>
              <w:t>国有资本经营预</w:t>
            </w:r>
            <w:r>
              <w:rPr>
                <w:rFonts w:hint="eastAsia" w:ascii="仿宋_GB2312" w:hAnsi="宋体" w:eastAsia="仿宋_GB2312" w:cs="宋体"/>
                <w:kern w:val="0"/>
                <w:sz w:val="18"/>
                <w:szCs w:val="18"/>
              </w:rPr>
              <w:t>算</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卫生健康支出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10046.61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10046.61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94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18"/>
                <w:szCs w:val="18"/>
              </w:rPr>
              <w:t>10046.61</w:t>
            </w: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3"/>
                <w:szCs w:val="13"/>
              </w:rPr>
            </w:pPr>
            <w:r>
              <w:rPr>
                <w:rFonts w:hint="eastAsia" w:ascii="宋体" w:hAnsi="宋体" w:cs="宋体"/>
                <w:color w:val="000000"/>
                <w:kern w:val="0"/>
                <w:sz w:val="18"/>
                <w:szCs w:val="18"/>
              </w:rPr>
              <w:t>10046.61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3"/>
                <w:szCs w:val="13"/>
              </w:rPr>
            </w:pPr>
            <w:r>
              <w:rPr>
                <w:rFonts w:hint="eastAsia" w:ascii="宋体" w:hAnsi="宋体" w:cs="宋体"/>
                <w:color w:val="000000"/>
                <w:kern w:val="0"/>
                <w:sz w:val="18"/>
                <w:szCs w:val="18"/>
              </w:rPr>
              <w:t>10046.61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500"/>
        <w:gridCol w:w="2410"/>
        <w:gridCol w:w="677"/>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70"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编制部门（单位）：克孜勒苏柯尔克孜自治州人民医院</w:t>
            </w:r>
          </w:p>
        </w:tc>
        <w:tc>
          <w:tcPr>
            <w:tcW w:w="677"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7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44"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560"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4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210</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卫生健康支出</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84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210</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02</w:t>
            </w:r>
          </w:p>
        </w:tc>
        <w:tc>
          <w:tcPr>
            <w:tcW w:w="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公立医院</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84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210</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02</w:t>
            </w:r>
          </w:p>
        </w:tc>
        <w:tc>
          <w:tcPr>
            <w:tcW w:w="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01</w:t>
            </w:r>
          </w:p>
        </w:tc>
        <w:tc>
          <w:tcPr>
            <w:tcW w:w="24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综合医院</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84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10046.61</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10046.61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540"/>
        <w:gridCol w:w="794"/>
        <w:gridCol w:w="3033"/>
        <w:gridCol w:w="853"/>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367"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编制部门（单位）：克孜勒苏柯尔克孜自治州人民医院</w:t>
            </w:r>
          </w:p>
        </w:tc>
        <w:tc>
          <w:tcPr>
            <w:tcW w:w="853"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36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961"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03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559"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03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5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其他对个人和家庭的补助</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23.36</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23.36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离休费</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17.32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17.32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退休费</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207.07</w:t>
            </w:r>
          </w:p>
        </w:tc>
        <w:tc>
          <w:tcPr>
            <w:tcW w:w="1701" w:type="dxa"/>
            <w:gridSpan w:val="2"/>
            <w:tcBorders>
              <w:top w:val="nil"/>
              <w:left w:val="nil"/>
              <w:bottom w:val="single" w:color="auto" w:sz="4" w:space="0"/>
              <w:right w:val="single" w:color="auto" w:sz="4" w:space="0"/>
            </w:tcBorders>
            <w:vAlign w:val="center"/>
          </w:tcPr>
          <w:p>
            <w:pPr>
              <w:widowControl/>
              <w:ind w:right="147" w:rightChars="70"/>
              <w:jc w:val="left"/>
              <w:rPr>
                <w:rFonts w:ascii="宋体" w:hAnsi="宋体" w:cs="宋体"/>
                <w:color w:val="000000"/>
                <w:kern w:val="0"/>
                <w:sz w:val="20"/>
                <w:szCs w:val="20"/>
              </w:rPr>
            </w:pPr>
            <w:r>
              <w:rPr>
                <w:rFonts w:hint="eastAsia" w:ascii="宋体" w:hAnsi="宋体" w:cs="宋体"/>
                <w:color w:val="000000"/>
                <w:kern w:val="0"/>
                <w:sz w:val="20"/>
                <w:szCs w:val="20"/>
              </w:rPr>
              <w:t xml:space="preserve">  207.07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04</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抚恤金</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5.70</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5.70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565.28</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565.28</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01</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3213.09</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3213.09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07</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医疗费补助</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15.00</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15.00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生活补助</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66.55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66.55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761.12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761.12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3812.76</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3812.76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03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奖金</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268.02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268.02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　</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09</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33.52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33.52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1057.83</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1057.83</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3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10046.61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10046.61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550"/>
        <w:gridCol w:w="477"/>
        <w:gridCol w:w="426"/>
        <w:gridCol w:w="581"/>
        <w:gridCol w:w="1456"/>
        <w:gridCol w:w="750"/>
        <w:gridCol w:w="110"/>
        <w:gridCol w:w="459"/>
        <w:gridCol w:w="536"/>
        <w:gridCol w:w="793"/>
        <w:gridCol w:w="511"/>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编制部门（单位）：克孜勒苏柯尔克孜自治州人民医院</w:t>
            </w:r>
          </w:p>
        </w:tc>
        <w:tc>
          <w:tcPr>
            <w:tcW w:w="995"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61"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58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793"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51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58"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7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6"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58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93"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11"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210　</w:t>
            </w:r>
          </w:p>
        </w:tc>
        <w:tc>
          <w:tcPr>
            <w:tcW w:w="477"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6" w:type="dxa"/>
          </w:tcPr>
          <w:p>
            <w:pPr>
              <w:widowControl/>
              <w:jc w:val="left"/>
              <w:outlineLvl w:val="1"/>
              <w:rPr>
                <w:rFonts w:ascii="仿宋_GB2312" w:hAnsi="宋体" w:eastAsia="仿宋_GB2312"/>
                <w:kern w:val="0"/>
                <w:sz w:val="18"/>
                <w:szCs w:val="18"/>
              </w:rPr>
            </w:pPr>
          </w:p>
        </w:tc>
        <w:tc>
          <w:tcPr>
            <w:tcW w:w="581"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卫生健康支出</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为民办实事工作经费及第一书记工作经费</w:t>
            </w:r>
          </w:p>
        </w:tc>
        <w:tc>
          <w:tcPr>
            <w:tcW w:w="75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69"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36"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93"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210　</w:t>
            </w:r>
          </w:p>
        </w:tc>
        <w:tc>
          <w:tcPr>
            <w:tcW w:w="477"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02　</w:t>
            </w:r>
          </w:p>
        </w:tc>
        <w:tc>
          <w:tcPr>
            <w:tcW w:w="426" w:type="dxa"/>
          </w:tcPr>
          <w:p>
            <w:pPr>
              <w:widowControl/>
              <w:jc w:val="left"/>
              <w:outlineLvl w:val="1"/>
              <w:rPr>
                <w:rFonts w:ascii="仿宋_GB2312" w:hAnsi="宋体" w:eastAsia="仿宋_GB2312"/>
                <w:kern w:val="0"/>
                <w:sz w:val="18"/>
                <w:szCs w:val="18"/>
              </w:rPr>
            </w:pPr>
          </w:p>
        </w:tc>
        <w:tc>
          <w:tcPr>
            <w:tcW w:w="581"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公立医院</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为民办实事工作经费及第一书记工作经费</w:t>
            </w:r>
          </w:p>
        </w:tc>
        <w:tc>
          <w:tcPr>
            <w:tcW w:w="75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69"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36"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93"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210　</w:t>
            </w:r>
          </w:p>
        </w:tc>
        <w:tc>
          <w:tcPr>
            <w:tcW w:w="477"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02　</w:t>
            </w:r>
          </w:p>
        </w:tc>
        <w:tc>
          <w:tcPr>
            <w:tcW w:w="426"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99</w:t>
            </w:r>
          </w:p>
        </w:tc>
        <w:tc>
          <w:tcPr>
            <w:tcW w:w="581"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其他公立医院支出</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为民办实事工作经费及第一书记工作经费</w:t>
            </w:r>
          </w:p>
        </w:tc>
        <w:tc>
          <w:tcPr>
            <w:tcW w:w="75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69"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36"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93"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12.00</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r>
              <w:rPr>
                <w:rFonts w:hint="eastAsia" w:ascii="仿宋_GB2312" w:hAnsi="宋体" w:eastAsia="仿宋_GB2312"/>
                <w:kern w:val="0"/>
                <w:sz w:val="22"/>
                <w:szCs w:val="32"/>
              </w:rPr>
              <w:t>12.00</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编制部门（单位）：克孜勒苏柯尔克孜自治州人民医院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备注：2021年</w:t>
      </w:r>
      <w:r>
        <w:rPr>
          <w:rFonts w:hint="eastAsia" w:ascii="仿宋_GB2312" w:hAnsi="宋体" w:eastAsia="仿宋_GB2312"/>
          <w:bCs/>
          <w:kern w:val="0"/>
          <w:sz w:val="28"/>
          <w:szCs w:val="32"/>
        </w:rPr>
        <w:t>克州人民医院差额事业单位，财政不安排此经费。</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编制部门（单位）：克孜勒苏柯尔克孜自治州人民医院                 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备注：2021年</w:t>
      </w:r>
      <w:r>
        <w:rPr>
          <w:rFonts w:hint="eastAsia" w:ascii="仿宋_GB2312" w:hAnsi="宋体" w:eastAsia="仿宋_GB2312"/>
          <w:bCs/>
          <w:kern w:val="0"/>
          <w:sz w:val="28"/>
          <w:szCs w:val="32"/>
        </w:rPr>
        <w:t>克州人民医院差额事业单位，未安排政府性基金预算支出。</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2021年部门（单位）预算情况说明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关于克孜勒苏柯尔克孜自治州人民医院2021年收支预算情况的总体说明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按照全口径预算的原则，克孜勒苏柯尔克孜自治州人民医院2021年所有收入和支出均纳入部门（单位）预算管理。收支总预算52978.43万元。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收入预算包括：一般公共预算10046.61万元、事业单位经营收入37584.82万元、单位其他资金收入2335万元、上级专项收入3012万元。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支出预算包括：卫生健康支出60826.31万元。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二、关于克孜勒苏柯尔克孜自治州人民医院2021年收入预算情况说明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克孜勒苏柯尔克孜自治州人民医院收入预算52978.43万元，其中：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一般公共预算10046.61万元，占16.51%，比上年预算减少46.22万元，主要原因是人员变动；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事业收入37584.82万元，占 61.78 %，比上年预算增加2692.76万元，主要原因是 医疗技术发展及援疆支持；</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单位其他资金收入2335万元，占 3.8%，比上年预算增加2335万元，主要原因是单位自筹资金建设消毒洗涤中心；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上级专项收入3012万元，占5%，比上年预算增加3000万元，主要原因是传染病分院建设项目。</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三、关于克孜勒苏柯尔克孜自治州人民医院2021年支出预算情况说明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克孜勒苏柯尔克孜自治州人民医院2021年支出预算60826.31万元，其中：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基本支出46131.43万元，占 75.84 %，比上年预算增加1146.54万元，主要原因是 人员工资变动及2021年医院全部纳入财政预算。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项目支出14694.88万元，占 24.16 %，比上年预算增加14682.88万元，主要原因是建设传染病分院、120急救体系及消毒洗涤中心。</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克孜勒苏柯尔克孜自治州人民医院2021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2021年财政拨款收支总预算10046.61万元。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收入全部为一般公共预算拨款，无政府性基金预算拨款和国有资本经营预算。</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收入预算包括：一般公共预算拨款10046.61万元。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一般公共预算支出包括：卫生健康支出10046.61万元，主要用于基本工资、津贴补贴、机关事业单位基本养老保险缴费、其他社会保障缴费、公积金、退休费、离休费等。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五、关于克孜勒苏柯尔克孜自治州人民医院2021年一般公共预算当年拨款情况说明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克孜勒苏柯尔克孜自治州人民医院2021年一般公共预算拨款合计10046.61万元，其中：基本支出10046.61万元，比上年预算减少46.22 万元，下降 0.46 %。主要原因是：人员减少。项目支出0万元，比上年预算增加0万元，增长0%。主要原因是无项目支出预算。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卫生健康支出（类：210）10046.613</w:t>
      </w:r>
      <w:r>
        <w:rPr>
          <w:rFonts w:hint="eastAsia" w:ascii="仿宋_GB2312" w:hAnsi="宋体" w:eastAsia="仿宋_GB2312" w:cs="宋体"/>
          <w:kern w:val="0"/>
          <w:sz w:val="32"/>
          <w:szCs w:val="32"/>
        </w:rPr>
        <w:t>万元，占100%。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卫生健康支出（类：210）</w:t>
      </w:r>
      <w:r>
        <w:rPr>
          <w:rFonts w:hint="eastAsia" w:ascii="仿宋_GB2312" w:hAnsi="宋体" w:eastAsia="仿宋_GB2312" w:cs="宋体"/>
          <w:kern w:val="0"/>
          <w:sz w:val="32"/>
          <w:szCs w:val="32"/>
        </w:rPr>
        <w:t>公立医院</w:t>
      </w:r>
      <w:r>
        <w:rPr>
          <w:rFonts w:ascii="仿宋_GB2312" w:hAnsi="宋体" w:eastAsia="仿宋_GB2312" w:cs="宋体"/>
          <w:kern w:val="0"/>
          <w:sz w:val="32"/>
          <w:szCs w:val="32"/>
        </w:rPr>
        <w:t>（</w:t>
      </w:r>
      <w:r>
        <w:rPr>
          <w:rFonts w:hint="eastAsia" w:ascii="仿宋_GB2312" w:hAnsi="宋体" w:eastAsia="仿宋_GB2312" w:cs="宋体"/>
          <w:kern w:val="0"/>
          <w:sz w:val="32"/>
          <w:szCs w:val="32"/>
        </w:rPr>
        <w:t>款：02</w:t>
      </w:r>
      <w:r>
        <w:rPr>
          <w:rFonts w:ascii="仿宋_GB2312" w:hAnsi="宋体" w:eastAsia="仿宋_GB2312" w:cs="宋体"/>
          <w:kern w:val="0"/>
          <w:sz w:val="32"/>
          <w:szCs w:val="32"/>
        </w:rPr>
        <w:t>）</w:t>
      </w:r>
      <w:r>
        <w:rPr>
          <w:rFonts w:hint="eastAsia" w:ascii="仿宋_GB2312" w:hAnsi="宋体" w:eastAsia="仿宋_GB2312" w:cs="宋体"/>
          <w:kern w:val="0"/>
          <w:sz w:val="32"/>
          <w:szCs w:val="32"/>
        </w:rPr>
        <w:t>综合医院</w:t>
      </w:r>
      <w:r>
        <w:rPr>
          <w:rFonts w:ascii="仿宋_GB2312" w:hAnsi="宋体" w:eastAsia="仿宋_GB2312" w:cs="宋体"/>
          <w:kern w:val="0"/>
          <w:sz w:val="32"/>
          <w:szCs w:val="32"/>
        </w:rPr>
        <w:t>（</w:t>
      </w:r>
      <w:r>
        <w:rPr>
          <w:rFonts w:hint="eastAsia" w:ascii="仿宋_GB2312" w:hAnsi="宋体" w:eastAsia="仿宋_GB2312" w:cs="宋体"/>
          <w:kern w:val="0"/>
          <w:sz w:val="32"/>
          <w:szCs w:val="32"/>
        </w:rPr>
        <w:t>项：01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10046.61</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比上年预算减少46.22万元，下降0.46%，主要原因是：人员退休、辞职，人员减少。</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六、关于克孜勒苏柯尔克孜自治州人民医院2021年一般公共预算基本支出情况说明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克孜勒苏柯尔克孜自治州人民医院2021年一般公共预算基本支出10046.61万元，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10046.61万元，主要包括：基本工资3213.09万元、津贴补贴3812.76万元、奖金268.02万元、机关事业单位基本养老保险缴费1057.83万元、其他社会保障缴费565.28万元、住房公积金761.12万元、离休费17.32万元、退休费207.07万元、抚恤金5.7万元、生活补助66.55万元、医疗费补助15万元、奖励金33.52万元、其他对个人和家庭的补助23.36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公用经费0万元，医院属于差额拨款单位，无公用经费。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七、关于克孜勒苏柯尔克孜自治州人民医院2021年一般公共预算项目支出情况说明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为民办实事工作经费及第一书记工作经费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：克民办发(2018)9号文件</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12万元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：克州人民医院</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：财政预算</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2021年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发放程序：无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八、关于克孜勒苏柯尔克孜自治州人民医院2021年一般公共预算“三公”经费预算情况说明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克孜勒苏柯尔克孜自治州人民医院2021年一般公共预算“三公”经费数为0万元，其中：因公出国（境）费0万元，公务用车购置0万元，公务用车运行费0万元，公务接待费0万元。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一般公共预算“三公”经费比上年增加0万元，其中：因公出国（境）费增加0万元，主要原因是克州人民医院为差额拨款单位；公务用车购置费为0，未安排预算；公务用车运行费增加0万元，主要原因是克州人民医院为差额拨款单位；公务接待费增加0万元，主要原因是克州人民医院为差额拨款单位。</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九、关于克孜勒苏柯尔克孜自治州人民医院2021年政府性基金预算拨款情况说明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克孜勒苏柯尔克孜自治州人民医院2021年没有使用政府性基金预算拨款安排的支出，政府性基金预算支出情况表为空表。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2021年，克孜勒苏柯尔克孜自治州人民医院本级及下属0家行政单位和0家事业单位的机关运行经费财政拨款预算0万元，比上年预算增加0万元，增长0%。主要原因是克州人民医院财政拨款机关运行经费无。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2021年，克孜勒苏柯尔克孜自治州人民医院政府采购预算25624.81万元，其中：政府采购货物预算7141.71万元，政府采购工程预算13135万元，政府采购服务预算5348.1万元。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2021年度本部门（单位）面向中小企业预留政府采购项目预算金额0万元，其中：面向小微企业预留政府采购项目预算金额0万元。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截至2020年底，克孜勒苏柯尔克孜自治州人民医院及下属各预算单位占用使用国有资产总体情况为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1.房屋59500.55平方米，价值15898.28万元。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2.车辆19辆，价值712.41万元；其中：一般公务用车  8辆，价值254.8万元；执法执勤用车0辆，价值0万元；其他车辆11辆，价值457.61万元。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3.办公家具价值1515.74万元。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4.其他资产价值29757.34万元。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单位价值50万元以上大型设备54台（套），单位价值100万元以上大型设备52台（套）。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2021年克孜勒苏柯尔克孜自治州人民医院预算未安排购置车辆经费（或安排购置车辆经费0万元），安排购置50万元以上大型设备12台（套），单位价值100万元以上大型设备11台（套）。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2021年度，本年度实行绩效管理的一般公共预算项目   1个，涉及预算金额12万元。具体情况见下表（按项目分别填报）：</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克孜勒苏柯尔克孜自治州人民医院</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kern w:val="0"/>
                <w:sz w:val="13"/>
                <w:szCs w:val="18"/>
              </w:rPr>
              <w:t>为民办实事工作经费及第一书记工作经费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12</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12</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通过开展富有特色的乡村文化活动，充分调动农民群众积极主动参与农村文化事业建设的热情，从而把全体农民的积极性、主动性和创造性凝聚到社会主义新农村建设上来。</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贫困户慰问次数（次）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≥4</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义诊次数（次）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≥6</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为民办实事覆盖率（%）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赠送药品（万元）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慰问守边员（万元）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慰问幼儿园老师（万元）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7</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减轻受助人员生活压力</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有效减轻</w:t>
            </w:r>
          </w:p>
        </w:tc>
      </w:tr>
      <w:tr>
        <w:tblPrEx>
          <w:tblLayout w:type="fixed"/>
          <w:tblCellMar>
            <w:top w:w="0" w:type="dxa"/>
            <w:left w:w="0" w:type="dxa"/>
            <w:bottom w:w="0" w:type="dxa"/>
            <w:right w:w="0" w:type="dxa"/>
          </w:tblCellMar>
        </w:tblPrEx>
        <w:trPr>
          <w:trHeight w:val="440" w:hRule="atLeast"/>
        </w:trPr>
        <w:tc>
          <w:tcPr>
            <w:tcW w:w="960" w:type="dxa"/>
            <w:vMerge w:val="continue"/>
            <w:tcBorders>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改善当地人民生活水平</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有效改善</w:t>
            </w:r>
          </w:p>
        </w:tc>
      </w:tr>
      <w:tr>
        <w:tblPrEx>
          <w:tblLayout w:type="fixed"/>
          <w:tblCellMar>
            <w:top w:w="0" w:type="dxa"/>
            <w:left w:w="0" w:type="dxa"/>
            <w:bottom w:w="0" w:type="dxa"/>
            <w:right w:w="0" w:type="dxa"/>
          </w:tblCellMar>
        </w:tblPrEx>
        <w:trPr>
          <w:trHeight w:val="440" w:hRule="atLeast"/>
        </w:trPr>
        <w:tc>
          <w:tcPr>
            <w:tcW w:w="960" w:type="dxa"/>
            <w:vMerge w:val="continue"/>
            <w:tcBorders>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677"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受益村民满意度（%）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克州人民医院属于差额拨款单位，一般财政拨款主要是人员工资，未安排公用经费。</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三、其他资金：</w:t>
      </w:r>
      <w:r>
        <w:rPr>
          <w:rFonts w:hint="eastAsia" w:ascii="仿宋_GB2312" w:eastAsia="仿宋_GB2312"/>
          <w:sz w:val="32"/>
          <w:szCs w:val="32"/>
        </w:rPr>
        <w:t>包括事业收入、事业经营收入、其他收入等。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四、基本支出：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五、项目支出：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六、国有资本经营预算：</w:t>
      </w:r>
      <w:r>
        <w:rPr>
          <w:rFonts w:hint="eastAsia" w:ascii="仿宋_GB2312" w:eastAsia="仿宋_GB2312"/>
          <w:sz w:val="32"/>
          <w:szCs w:val="32"/>
        </w:rPr>
        <w:t>是政府以所有者身份依法取得</w:t>
      </w:r>
      <w:r>
        <w:fldChar w:fldCharType="begin"/>
      </w:r>
      <w:r>
        <w:instrText xml:space="preserve"> HYPERLINK "https://baike.so.com/doc/6465702-6679394.html" \t "https://baike.so.com/doc/_blank" </w:instrText>
      </w:r>
      <w:r>
        <w:fldChar w:fldCharType="separate"/>
      </w:r>
      <w:r>
        <w:rPr>
          <w:rFonts w:hint="eastAsia" w:ascii="仿宋_GB2312" w:eastAsia="仿宋_GB2312"/>
          <w:sz w:val="32"/>
          <w:szCs w:val="32"/>
        </w:rPr>
        <w:t>国有资本收益</w:t>
      </w:r>
      <w:r>
        <w:rPr>
          <w:rFonts w:hint="eastAsia" w:ascii="仿宋_GB2312" w:eastAsia="仿宋_GB2312"/>
          <w:sz w:val="32"/>
          <w:szCs w:val="32"/>
        </w:rPr>
        <w:fldChar w:fldCharType="end"/>
      </w:r>
      <w:r>
        <w:rPr>
          <w:rFonts w:hint="eastAsia" w:ascii="仿宋_GB2312" w:eastAsia="仿宋_GB2312"/>
          <w:sz w:val="32"/>
          <w:szCs w:val="32"/>
        </w:rPr>
        <w:t>，并对所得收益进行分配而发生的各项收支预算，是政府预算的重要组成部分。</w:t>
      </w:r>
    </w:p>
    <w:p>
      <w:pPr>
        <w:spacing w:line="520" w:lineRule="exact"/>
        <w:ind w:firstLine="642"/>
        <w:rPr>
          <w:rFonts w:ascii="仿宋_GB2312" w:eastAsia="仿宋_GB2312"/>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克孜勒苏柯尔克孜自治州人民医院</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2021</w:t>
      </w:r>
      <w:r>
        <w:rPr>
          <w:rFonts w:ascii="仿宋_GB2312" w:hAnsi="宋体" w:eastAsia="仿宋_GB2312" w:cs="宋体"/>
          <w:kern w:val="0"/>
          <w:sz w:val="32"/>
          <w:szCs w:val="32"/>
        </w:rPr>
        <w:t>年</w:t>
      </w:r>
      <w:r>
        <w:rPr>
          <w:rFonts w:hint="eastAsia" w:ascii="仿宋_GB2312" w:hAnsi="宋体" w:eastAsia="仿宋_GB2312" w:cs="宋体"/>
          <w:kern w:val="0"/>
          <w:sz w:val="32"/>
          <w:szCs w:val="32"/>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rPr>
        <w:t>5</w:t>
      </w:r>
      <w:r>
        <w:rPr>
          <w:rFonts w:ascii="仿宋_GB2312" w:hAnsi="宋体" w:eastAsia="仿宋_GB2312" w:cs="宋体"/>
          <w:kern w:val="0"/>
          <w:sz w:val="32"/>
          <w:szCs w:val="32"/>
        </w:rPr>
        <w:t>日</w:t>
      </w: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- 31 -</w:t>
    </w:r>
    <w:r>
      <w:rPr>
        <w:rFonts w:ascii="宋体" w:hAnsi="宋体" w:eastAsia="宋体"/>
        <w:sz w:val="28"/>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05BF"/>
    <w:rsid w:val="000435CF"/>
    <w:rsid w:val="00073928"/>
    <w:rsid w:val="0009522A"/>
    <w:rsid w:val="000A1762"/>
    <w:rsid w:val="000C10DB"/>
    <w:rsid w:val="000D0AF0"/>
    <w:rsid w:val="00121764"/>
    <w:rsid w:val="00132676"/>
    <w:rsid w:val="001344F7"/>
    <w:rsid w:val="001410DA"/>
    <w:rsid w:val="001662FE"/>
    <w:rsid w:val="00172C01"/>
    <w:rsid w:val="00186398"/>
    <w:rsid w:val="001B1A58"/>
    <w:rsid w:val="001D3009"/>
    <w:rsid w:val="001E09E7"/>
    <w:rsid w:val="001E5B9C"/>
    <w:rsid w:val="001F2FB1"/>
    <w:rsid w:val="00213D3C"/>
    <w:rsid w:val="002166BA"/>
    <w:rsid w:val="00237821"/>
    <w:rsid w:val="0025158B"/>
    <w:rsid w:val="002C3058"/>
    <w:rsid w:val="002D4CEC"/>
    <w:rsid w:val="00301818"/>
    <w:rsid w:val="00324290"/>
    <w:rsid w:val="00363BBF"/>
    <w:rsid w:val="00396814"/>
    <w:rsid w:val="003B4B5F"/>
    <w:rsid w:val="003C61E3"/>
    <w:rsid w:val="00432267"/>
    <w:rsid w:val="00463A4E"/>
    <w:rsid w:val="00466C35"/>
    <w:rsid w:val="00493EEC"/>
    <w:rsid w:val="004A0541"/>
    <w:rsid w:val="004B5A44"/>
    <w:rsid w:val="004D2619"/>
    <w:rsid w:val="004F62F9"/>
    <w:rsid w:val="00520D5A"/>
    <w:rsid w:val="005520B6"/>
    <w:rsid w:val="0055319A"/>
    <w:rsid w:val="005659CB"/>
    <w:rsid w:val="00586E74"/>
    <w:rsid w:val="005C192D"/>
    <w:rsid w:val="00630971"/>
    <w:rsid w:val="00647637"/>
    <w:rsid w:val="0067706E"/>
    <w:rsid w:val="006B6A8C"/>
    <w:rsid w:val="006D5EAD"/>
    <w:rsid w:val="007219F8"/>
    <w:rsid w:val="00735278"/>
    <w:rsid w:val="00756720"/>
    <w:rsid w:val="00782478"/>
    <w:rsid w:val="007B2F87"/>
    <w:rsid w:val="007B7942"/>
    <w:rsid w:val="007E2CEA"/>
    <w:rsid w:val="007E338D"/>
    <w:rsid w:val="0080401B"/>
    <w:rsid w:val="00816E5C"/>
    <w:rsid w:val="008448B3"/>
    <w:rsid w:val="0086553A"/>
    <w:rsid w:val="00875B89"/>
    <w:rsid w:val="00893A05"/>
    <w:rsid w:val="009035BA"/>
    <w:rsid w:val="00907796"/>
    <w:rsid w:val="00917156"/>
    <w:rsid w:val="0094598E"/>
    <w:rsid w:val="0096028F"/>
    <w:rsid w:val="00970EB4"/>
    <w:rsid w:val="00992528"/>
    <w:rsid w:val="0099744C"/>
    <w:rsid w:val="009C6198"/>
    <w:rsid w:val="00A02E65"/>
    <w:rsid w:val="00A11038"/>
    <w:rsid w:val="00A2193C"/>
    <w:rsid w:val="00A32A2A"/>
    <w:rsid w:val="00A32DA2"/>
    <w:rsid w:val="00A9706D"/>
    <w:rsid w:val="00AE48BA"/>
    <w:rsid w:val="00B002D5"/>
    <w:rsid w:val="00B00B46"/>
    <w:rsid w:val="00B127E0"/>
    <w:rsid w:val="00B31EE3"/>
    <w:rsid w:val="00B43433"/>
    <w:rsid w:val="00B50EF3"/>
    <w:rsid w:val="00B742C6"/>
    <w:rsid w:val="00B94A5F"/>
    <w:rsid w:val="00BA582F"/>
    <w:rsid w:val="00BA7614"/>
    <w:rsid w:val="00BE3F9B"/>
    <w:rsid w:val="00BF6457"/>
    <w:rsid w:val="00C117E5"/>
    <w:rsid w:val="00CA3C98"/>
    <w:rsid w:val="00CA4E1E"/>
    <w:rsid w:val="00D02017"/>
    <w:rsid w:val="00D4764B"/>
    <w:rsid w:val="00D77D07"/>
    <w:rsid w:val="00DA51BE"/>
    <w:rsid w:val="00DC05BF"/>
    <w:rsid w:val="00DC32BC"/>
    <w:rsid w:val="00E0178D"/>
    <w:rsid w:val="00E6575E"/>
    <w:rsid w:val="00E72E1E"/>
    <w:rsid w:val="00E8362F"/>
    <w:rsid w:val="00EB0E0A"/>
    <w:rsid w:val="00EC59F3"/>
    <w:rsid w:val="00F10827"/>
    <w:rsid w:val="00F23808"/>
    <w:rsid w:val="00F46CED"/>
    <w:rsid w:val="00F54FE8"/>
    <w:rsid w:val="00F66E16"/>
    <w:rsid w:val="00F830A1"/>
    <w:rsid w:val="00F83503"/>
    <w:rsid w:val="00F85EF2"/>
    <w:rsid w:val="00F90952"/>
    <w:rsid w:val="00FC76BC"/>
    <w:rsid w:val="00FE57DF"/>
    <w:rsid w:val="011C0737"/>
    <w:rsid w:val="052C699E"/>
    <w:rsid w:val="05D52000"/>
    <w:rsid w:val="147D4BE8"/>
    <w:rsid w:val="1ADB67D3"/>
    <w:rsid w:val="21D03388"/>
    <w:rsid w:val="21F8422A"/>
    <w:rsid w:val="221014CB"/>
    <w:rsid w:val="39B913AE"/>
    <w:rsid w:val="4EAC2173"/>
    <w:rsid w:val="4EE514F8"/>
    <w:rsid w:val="50541B3C"/>
    <w:rsid w:val="545B1D8A"/>
    <w:rsid w:val="59E813D6"/>
    <w:rsid w:val="5C3D6EBC"/>
    <w:rsid w:val="65765A3D"/>
    <w:rsid w:val="6FA7651F"/>
    <w:rsid w:val="70DE76C3"/>
    <w:rsid w:val="74C00F6E"/>
    <w:rsid w:val="7EFE5E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qFormat/>
    <w:uiPriority w:val="0"/>
    <w:rPr>
      <w:rFonts w:asciiTheme="minorHAnsi" w:hAnsiTheme="minorHAnsi" w:eastAsiaTheme="minorEastAsia" w:cstheme="minorBidi"/>
      <w:sz w:val="18"/>
      <w:szCs w:val="18"/>
    </w:rPr>
  </w:style>
  <w:style w:type="paragraph" w:styleId="3">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6"/>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styleId="12">
    <w:name w:val="Hyperlink"/>
    <w:basedOn w:val="9"/>
    <w:semiHidden/>
    <w:unhideWhenUsed/>
    <w:qFormat/>
    <w:uiPriority w:val="99"/>
    <w:rPr>
      <w:color w:val="0000FF"/>
      <w:u w:val="single"/>
    </w:rPr>
  </w:style>
  <w:style w:type="character" w:customStyle="1" w:styleId="13">
    <w:name w:val="页眉 Char"/>
    <w:basedOn w:val="9"/>
    <w:link w:val="4"/>
    <w:qFormat/>
    <w:uiPriority w:val="0"/>
    <w:rPr>
      <w:sz w:val="18"/>
      <w:szCs w:val="18"/>
    </w:rPr>
  </w:style>
  <w:style w:type="character" w:customStyle="1" w:styleId="14">
    <w:name w:val="页脚 Char"/>
    <w:basedOn w:val="9"/>
    <w:link w:val="3"/>
    <w:qFormat/>
    <w:uiPriority w:val="99"/>
    <w:rPr>
      <w:sz w:val="18"/>
      <w:szCs w:val="18"/>
    </w:rPr>
  </w:style>
  <w:style w:type="character" w:customStyle="1" w:styleId="15">
    <w:name w:val="批注框文本 Char"/>
    <w:link w:val="2"/>
    <w:semiHidden/>
    <w:qFormat/>
    <w:uiPriority w:val="0"/>
    <w:rPr>
      <w:sz w:val="18"/>
      <w:szCs w:val="18"/>
    </w:rPr>
  </w:style>
  <w:style w:type="character" w:customStyle="1" w:styleId="16">
    <w:name w:val="正文文本缩进 3 Char"/>
    <w:link w:val="5"/>
    <w:qFormat/>
    <w:uiPriority w:val="0"/>
    <w:rPr>
      <w:rFonts w:eastAsia="仿宋_GB2312"/>
      <w:sz w:val="32"/>
      <w:szCs w:val="24"/>
    </w:rPr>
  </w:style>
  <w:style w:type="paragraph" w:customStyle="1" w:styleId="17">
    <w:name w:val="普通(网站)2"/>
    <w:basedOn w:val="1"/>
    <w:qFormat/>
    <w:uiPriority w:val="0"/>
    <w:rPr>
      <w:rFonts w:ascii="Calibri" w:hAnsi="Calibri" w:cs="黑体"/>
      <w:sz w:val="24"/>
    </w:rPr>
  </w:style>
  <w:style w:type="character" w:customStyle="1" w:styleId="18">
    <w:name w:val="正文文本缩进 3 字符1"/>
    <w:basedOn w:val="9"/>
    <w:semiHidden/>
    <w:qFormat/>
    <w:uiPriority w:val="99"/>
    <w:rPr>
      <w:rFonts w:ascii="Times New Roman" w:hAnsi="Times New Roman" w:eastAsia="宋体" w:cs="Times New Roman"/>
      <w:sz w:val="16"/>
      <w:szCs w:val="16"/>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普通(网站)3"/>
    <w:basedOn w:val="1"/>
    <w:qFormat/>
    <w:uiPriority w:val="0"/>
    <w:rPr>
      <w:rFonts w:ascii="Calibri" w:hAnsi="Calibri" w:cs="黑体"/>
      <w:sz w:val="24"/>
    </w:rPr>
  </w:style>
  <w:style w:type="character" w:customStyle="1" w:styleId="21">
    <w:name w:val="批注框文本 字符1"/>
    <w:basedOn w:val="9"/>
    <w:semiHidden/>
    <w:qFormat/>
    <w:uiPriority w:val="99"/>
    <w:rPr>
      <w:rFonts w:ascii="Times New Roman" w:hAnsi="Times New Roman" w:eastAsia="宋体" w:cs="Times New Roman"/>
      <w:sz w:val="18"/>
      <w:szCs w:val="18"/>
    </w:rPr>
  </w:style>
  <w:style w:type="paragraph" w:customStyle="1" w:styleId="2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3">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Www.RePaiK.Com</Company>
  <Pages>22</Pages>
  <Words>6441</Words>
  <Characters>5033</Characters>
  <Lines>41</Lines>
  <Paragraphs>22</Paragraphs>
  <TotalTime>24</TotalTime>
  <ScaleCrop>false</ScaleCrop>
  <LinksUpToDate>false</LinksUpToDate>
  <CharactersWithSpaces>11452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Administrator</cp:lastModifiedBy>
  <cp:lastPrinted>2021-06-06T13:29:00Z</cp:lastPrinted>
  <dcterms:modified xsi:type="dcterms:W3CDTF">2023-05-22T10:15:28Z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