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特种设备检验检测所2021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单位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克州特种设备检验检测所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(单位）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州特种设备检验检测所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州特种设备检验检测所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三、关于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六、关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460" w:lineRule="exact"/>
        <w:ind w:firstLine="640" w:firstLineChars="200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460" w:lineRule="exact"/>
        <w:ind w:firstLine="640" w:firstLineChars="200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numPr>
          <w:ilvl w:val="0"/>
          <w:numId w:val="0"/>
        </w:numPr>
        <w:spacing w:before="100" w:beforeAutospacing="1" w:after="240" w:line="300" w:lineRule="auto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承担锅炉、压力容器、电梯、起重机械安装、维修、改造监督检验。承担压力管道安装监督检验。承担锅炉、压力容器、压力管道、电梯、起重机械和场（厂）内机动车辆的定期检验。承担锅炉介质的定期检验。承担安全阀定期检验及各类气瓶的检验检测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单位无下属预算单位，下设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业务室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机电室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承压室和气瓶室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单位编制数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15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，实有人数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人，其中：在职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 退休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outlineLvl w:val="1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编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制部门：克州特种设备检验检测所                              单位：万元        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635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目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财政拨款（补助）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226.36</w:t>
            </w:r>
          </w:p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一般公共预算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226.36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2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226.36</w:t>
            </w:r>
            <w:bookmarkEnd w:id="2"/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编制部门：克州特种设备检验检测所      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095"/>
        <w:gridCol w:w="11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601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市场秩序执法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51.58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18.58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50"/>
        <w:gridCol w:w="405"/>
        <w:gridCol w:w="2452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市场秩序执法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51.58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51.58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总 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市场秩序执法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42.65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569"/>
        <w:gridCol w:w="536"/>
        <w:gridCol w:w="652"/>
        <w:gridCol w:w="652"/>
        <w:gridCol w:w="578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没有使用一般公共预算项目安排的支出，故此表为空。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没有使用政府性基金预算拨款安排的支出，故此表为空。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207.78万元。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226.36 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91.79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17.26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2020年预算时的人员是15人，2021年减少2人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2020年做预算时的人员是15人，2021年13人，减少2人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eastAsia="zh-CN"/>
        </w:rPr>
        <w:t>本年没有使用项目支出预算拨款安排的支出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207.78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支出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207.78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：人员经费支出和公用经费支出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其中：基本支出207.78万元 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7.67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%。主要原因是：主要原因是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2020年做预算时的人员是15人，2021年13人，减少2人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单位无项目支出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一般公共服务（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类：201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207.78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类：201）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市场监督管理事务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(款：38)事业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项：50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174.78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50.29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22.35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2020年做预算时的人员是15人，2021年13人，减少2人;2021年补充公用经费33万元单独例示为市场秩序执法。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类：201）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市场监督管理事务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(款：38)市场秩序执法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项：05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33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33万元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2020年预算时的在事业运行中反映了，没有单独例示。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165.13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70.21万元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17.79万元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11.35万元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2021年度克州特种设备检验检测所未安排项目支出。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万元，其中：因公出国（境）费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万元，公务用车购置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；公务用车购置费为0，未安排预算。公务用车运行费增加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家事业单位的机关运行经费财政拨款预算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42.65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万元，比上年预算减少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厉行节约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万元，政府采购工程预算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万元，政府采购服务预算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 xml:space="preserve">年度本部门面向中小企业预留政府采购项目预算金额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 万元，其中：面向小微企业预留政府采购项目预算金额 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万元，政府采购工程预算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万元，政府采购服务预算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 xml:space="preserve">年度本部门面向中小企业预留政府采购项目预算金额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 万元，其中：面向小微企业预留政府采购项目预算金额 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个，涉及预算金额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万元。具体情况见下表（按项目分别填报）：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其他需说明的事项</w:t>
      </w:r>
    </w:p>
    <w:p>
      <w:pPr>
        <w:widowControl/>
        <w:numPr>
          <w:ilvl w:val="0"/>
          <w:numId w:val="0"/>
        </w:numPr>
        <w:spacing w:line="4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克州特种设备检验检测所无其他需要说明的事项。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</w:p>
    <w:p>
      <w:pPr>
        <w:widowControl/>
        <w:spacing w:line="52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</w:p>
    <w:p>
      <w:pPr>
        <w:widowControl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2021年2月5日</w:t>
      </w: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A5796"/>
    <w:multiLevelType w:val="singleLevel"/>
    <w:tmpl w:val="C61A579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3D1256"/>
    <w:rsid w:val="00432267"/>
    <w:rsid w:val="004422D6"/>
    <w:rsid w:val="00493EEC"/>
    <w:rsid w:val="004C06DA"/>
    <w:rsid w:val="004F62F9"/>
    <w:rsid w:val="00511DF4"/>
    <w:rsid w:val="00520D5A"/>
    <w:rsid w:val="006A0897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4127E62"/>
    <w:rsid w:val="05B879AC"/>
    <w:rsid w:val="06471643"/>
    <w:rsid w:val="07FB4C36"/>
    <w:rsid w:val="0B642332"/>
    <w:rsid w:val="0ED134EB"/>
    <w:rsid w:val="10032A4F"/>
    <w:rsid w:val="1030178C"/>
    <w:rsid w:val="120C53EA"/>
    <w:rsid w:val="13331FD7"/>
    <w:rsid w:val="135D6143"/>
    <w:rsid w:val="13BC4DE7"/>
    <w:rsid w:val="157D2DF3"/>
    <w:rsid w:val="19E551B3"/>
    <w:rsid w:val="1B4A2CB0"/>
    <w:rsid w:val="1BA35451"/>
    <w:rsid w:val="1D700414"/>
    <w:rsid w:val="1DF038F2"/>
    <w:rsid w:val="1E07472D"/>
    <w:rsid w:val="1E5B3C53"/>
    <w:rsid w:val="1F231955"/>
    <w:rsid w:val="22BF2104"/>
    <w:rsid w:val="22F74495"/>
    <w:rsid w:val="25092D33"/>
    <w:rsid w:val="26F56CD0"/>
    <w:rsid w:val="285569BA"/>
    <w:rsid w:val="286D15EC"/>
    <w:rsid w:val="294C5C3B"/>
    <w:rsid w:val="29AD71E5"/>
    <w:rsid w:val="2A886573"/>
    <w:rsid w:val="2ADD0498"/>
    <w:rsid w:val="2B52606F"/>
    <w:rsid w:val="2B897932"/>
    <w:rsid w:val="2D585CF9"/>
    <w:rsid w:val="2E215888"/>
    <w:rsid w:val="301D3E7F"/>
    <w:rsid w:val="3047369C"/>
    <w:rsid w:val="321F3D78"/>
    <w:rsid w:val="37130BD6"/>
    <w:rsid w:val="37B92A1D"/>
    <w:rsid w:val="38ED0EA1"/>
    <w:rsid w:val="3ACC5F53"/>
    <w:rsid w:val="3AED6713"/>
    <w:rsid w:val="3CBA1159"/>
    <w:rsid w:val="3D3B5013"/>
    <w:rsid w:val="3D744FAB"/>
    <w:rsid w:val="3F28649A"/>
    <w:rsid w:val="402A7E4A"/>
    <w:rsid w:val="40890469"/>
    <w:rsid w:val="40BF2900"/>
    <w:rsid w:val="4191425B"/>
    <w:rsid w:val="420D522B"/>
    <w:rsid w:val="42246272"/>
    <w:rsid w:val="429E64EA"/>
    <w:rsid w:val="436D79AC"/>
    <w:rsid w:val="45AF6FE2"/>
    <w:rsid w:val="483D5A7A"/>
    <w:rsid w:val="498F3A45"/>
    <w:rsid w:val="49AD5CB1"/>
    <w:rsid w:val="4A771BF8"/>
    <w:rsid w:val="4E6B7E14"/>
    <w:rsid w:val="4F971027"/>
    <w:rsid w:val="5090228B"/>
    <w:rsid w:val="52B06384"/>
    <w:rsid w:val="548B41C3"/>
    <w:rsid w:val="55096E51"/>
    <w:rsid w:val="55493FF5"/>
    <w:rsid w:val="55D34408"/>
    <w:rsid w:val="5699300A"/>
    <w:rsid w:val="59852B99"/>
    <w:rsid w:val="5B354216"/>
    <w:rsid w:val="5D077729"/>
    <w:rsid w:val="5F036DEA"/>
    <w:rsid w:val="5F2A166A"/>
    <w:rsid w:val="617C4927"/>
    <w:rsid w:val="62782A8D"/>
    <w:rsid w:val="636C7DE4"/>
    <w:rsid w:val="663C18F2"/>
    <w:rsid w:val="67CD4B4E"/>
    <w:rsid w:val="6981235A"/>
    <w:rsid w:val="69EE6562"/>
    <w:rsid w:val="6B263070"/>
    <w:rsid w:val="6C1C19CF"/>
    <w:rsid w:val="6C4E6029"/>
    <w:rsid w:val="6CBC241A"/>
    <w:rsid w:val="6FAA49ED"/>
    <w:rsid w:val="72885C9E"/>
    <w:rsid w:val="737600FC"/>
    <w:rsid w:val="73D7101F"/>
    <w:rsid w:val="74776C0A"/>
    <w:rsid w:val="76113D68"/>
    <w:rsid w:val="77BA2164"/>
    <w:rsid w:val="78A61E06"/>
    <w:rsid w:val="78EE6260"/>
    <w:rsid w:val="793B61CB"/>
    <w:rsid w:val="7A6063FB"/>
    <w:rsid w:val="7B0429BA"/>
    <w:rsid w:val="7C2D7F0E"/>
    <w:rsid w:val="7C371F81"/>
    <w:rsid w:val="7D342BC1"/>
    <w:rsid w:val="7E3B6606"/>
    <w:rsid w:val="7EBA272C"/>
    <w:rsid w:val="7EDE0F5A"/>
    <w:rsid w:val="7FAF7878"/>
    <w:rsid w:val="7FB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13</TotalTime>
  <ScaleCrop>false</ScaleCrop>
  <LinksUpToDate>false</LinksUpToDate>
  <CharactersWithSpaces>16419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小雪</cp:lastModifiedBy>
  <dcterms:modified xsi:type="dcterms:W3CDTF">2021-03-03T15:42:27Z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