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勤工俭学办公室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00" w:lineRule="exact"/>
        <w:outlineLvl w:val="1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/>
          <w:kern w:val="0"/>
          <w:sz w:val="32"/>
          <w:szCs w:val="32"/>
        </w:rPr>
        <w:t>贯彻执行国家有关法律法规和教育方针，制定学校后勤发展规划、规章、制度和工作措施，组织指导学校后勤管理工作开展。负责全州中小学校后勤保障与管理的宏观指导工作。制定全州中小学校后勤基本设施发展规划，制定学校后勤服务设备管理制度，学生食堂、宿舍、绿化美化、安全保卫、环境卫生、学校消费市场管理等规章制度。配合教育部门对学校食品卫生伙食质量与价格、宿舍安全等工作进行监督和检查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/>
          <w:kern w:val="0"/>
          <w:sz w:val="32"/>
          <w:szCs w:val="32"/>
        </w:rPr>
        <w:t>指导全州中小学校和中职学校后勤改革与管理工作。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宋体" w:eastAsia="仿宋_GB2312"/>
          <w:kern w:val="0"/>
          <w:sz w:val="32"/>
          <w:szCs w:val="32"/>
        </w:rPr>
        <w:t>负责全州中小学校风险管理工作。组织协调校方责任险的投标、理赔工作和中小学校学生平安保险的工作，引导学校建立起维护学校正常教育教学秩序、校园安全、预防学生意外伤害等风险防范与风险转移体系。承办州教育局交办的其他工作任务，保障全州教育系统正常运作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</w:rPr>
        <w:t>勤工俭学办公室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40" w:lineRule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176.06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176.06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176.06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176.06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176.06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67"/>
        <w:gridCol w:w="417"/>
        <w:gridCol w:w="1500"/>
        <w:gridCol w:w="866"/>
        <w:gridCol w:w="884"/>
        <w:gridCol w:w="324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教育管理事务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其他教育管理事务支出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0.10</w:t>
            </w:r>
          </w:p>
        </w:tc>
      </w:tr>
    </w:tbl>
    <w:p>
      <w:pPr>
        <w:widowControl/>
        <w:spacing w:line="240" w:lineRule="auto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3"/>
        <w:gridCol w:w="500"/>
        <w:gridCol w:w="2292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教育管理事务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其他教育管理事务支出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176.16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  <w:highlight w:val="none"/>
        </w:rPr>
      </w:pPr>
      <w:r>
        <w:rPr>
          <w:rFonts w:hint="eastAsia" w:ascii="仿宋_GB2312" w:hAnsi="宋体" w:eastAsia="仿宋_GB2312"/>
          <w:kern w:val="0"/>
          <w:szCs w:val="21"/>
          <w:highlight w:val="none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Cs w:val="21"/>
          <w:highlight w:val="none"/>
        </w:rPr>
        <w:t xml:space="preserve">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highlight w:val="none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176.06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176.06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176.06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176.06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176.06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176.06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176.06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44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克孜勒苏柯尔克孜自治州勤工俭学办公室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教育管理事务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其他教育管理事务支出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克孜勒苏柯尔克孜自治州勤工俭学办公室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173.37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2.69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56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405" w:hRule="atLeast"/>
        </w:trPr>
        <w:tc>
          <w:tcPr>
            <w:tcW w:w="70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克孜勒苏柯尔克孜自治州勤工俭学办公室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备注：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没有项目预算拨款安排的支出，故此表为空表。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没有“三公经费”预算拨款安排的支出，故此表为空表。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40" w:lineRule="auto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40" w:lineRule="auto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没有使用政府性基金预算拨款安排的支出，故此表为空表。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2021克孜勒苏柯尔克孜自治州勤工俭学办公室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年所有收入和支出均纳入部门（单位）预算管理。收支总预算176.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收入预算包括：一般公共预算176.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0万元、单位上年结余（不包含国库集中支付额度结余）0.1万元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支出预算包括：教育支出176.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    176.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一般公共预算176.06万元，占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本年度预算较上年度在职转退休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1人，相应公用经费、工会费福利费、工资减少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年支出预算176.16万元，其中：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基本支出176.16万元，占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本年度预算较上年度在职转退休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1人，相应公用经费、工会费福利费、工资减少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万元，主要原因是本年度未安排项目预算支出。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176.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6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176.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教育支出176.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6万元，主要用于职工工资、津贴补贴、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社会保障缴费、住房公积金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、机关事业单位基本养老保险缴费。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年一般公共预算拨款合计176.06万元，其中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176.06万元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本年度预算较上年度在职转退休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1人，相应公用经费、工会费福利费、工资减少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本年度无项目预算安排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教育支出（类）176.06万元，占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教育支出（类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）教育管理事务（款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）其他教育管理事务支出（项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176.06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1人退休，相应公用经费、工会费福利费、工资减少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176.06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万元，主要包括：基本工资62.3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万元、津贴补贴59.6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万元、奖金5.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万元、机关事业单位基本养老保险缴费18.19万元、其他社会保障缴费10.2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万元、住房公积金13.0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万元、退休费4.40万元、奖励金0.3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万元，主要包括：办公费0.3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万元、工会经费0.8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万元、福利费1.4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widowControl/>
        <w:spacing w:line="500" w:lineRule="exact"/>
        <w:ind w:firstLine="320" w:firstLineChars="1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（一）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</w:rPr>
        <w:t>勤工俭学办公室未安排项目支出、专项业务费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widowControl/>
        <w:spacing w:line="500" w:lineRule="exact"/>
        <w:ind w:firstLine="320" w:firstLineChars="1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（二）：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</w:rPr>
        <w:t>勤工俭学办公室未安排属于对个人补贴的项目支出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黑体" w:eastAsia="仿宋_GB2312"/>
          <w:sz w:val="32"/>
          <w:szCs w:val="32"/>
        </w:rPr>
        <w:t>勤工俭学办公室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年“三公”经费财政拨款预算数为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万元，其中：因公出国（境）费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万元，公务用车购置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万元，公务用车运行费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万元，公务接待费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年“三公”经费财政拨款预算比上年增加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万元，其中：因公出国（境）费增加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万元，主要原因是我单位本年度未安排该项预算；公务用车购置费为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，我单位本年度未安排该项预算。公务用车运行费增加万元，主要原因是我单位本年度未安排该项预算；公务接待费增加万元，主要原因是我单位本年度未安排该项预算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勤工俭学办公室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年没有使用政府性基金预算拨款安排的支出，政府性基金预算支出情况表为空表（表九）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1人退休，相应公用经费、工会费福利费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车辆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21.04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21.04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办公家具价值</w:t>
      </w:r>
      <w:r>
        <w:rPr>
          <w:rFonts w:ascii="仿宋_GB2312" w:hAnsi="宋体" w:eastAsia="仿宋_GB2312" w:cs="宋体"/>
          <w:kern w:val="0"/>
          <w:sz w:val="32"/>
          <w:szCs w:val="32"/>
        </w:rPr>
        <w:t>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>5.21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三、财政专户管理资金：</w:t>
      </w:r>
      <w:r>
        <w:rPr>
          <w:rFonts w:hint="eastAsia" w:ascii="仿宋_GB2312" w:eastAsia="仿宋_GB2312"/>
          <w:sz w:val="32"/>
          <w:szCs w:val="32"/>
          <w:highlight w:val="none"/>
        </w:rPr>
        <w:t>包括专</w:t>
      </w:r>
      <w:r>
        <w:rPr>
          <w:rFonts w:hint="eastAsia" w:ascii="仿宋_GB2312" w:eastAsia="仿宋_GB2312"/>
          <w:sz w:val="32"/>
          <w:szCs w:val="32"/>
        </w:rPr>
        <w:t>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克孜勒苏柯尔克孜自治州勤工俭学办公室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4E46CCC"/>
    <w:rsid w:val="0B650C6F"/>
    <w:rsid w:val="0D8D6A81"/>
    <w:rsid w:val="0E2344AE"/>
    <w:rsid w:val="160D6DE4"/>
    <w:rsid w:val="164F198E"/>
    <w:rsid w:val="1A483252"/>
    <w:rsid w:val="1B01362C"/>
    <w:rsid w:val="26A1779E"/>
    <w:rsid w:val="2B05521B"/>
    <w:rsid w:val="2BCD184C"/>
    <w:rsid w:val="2DCD772F"/>
    <w:rsid w:val="2EC33B58"/>
    <w:rsid w:val="30876BFF"/>
    <w:rsid w:val="32260C52"/>
    <w:rsid w:val="3537092A"/>
    <w:rsid w:val="38417C33"/>
    <w:rsid w:val="3B3924D1"/>
    <w:rsid w:val="447F20C5"/>
    <w:rsid w:val="47C1526F"/>
    <w:rsid w:val="49EC2814"/>
    <w:rsid w:val="4E5F73A8"/>
    <w:rsid w:val="529A681E"/>
    <w:rsid w:val="539A2D2D"/>
    <w:rsid w:val="549827B6"/>
    <w:rsid w:val="55FF3DEB"/>
    <w:rsid w:val="5C516C80"/>
    <w:rsid w:val="5C7F7748"/>
    <w:rsid w:val="5CEC1EFD"/>
    <w:rsid w:val="5D146C02"/>
    <w:rsid w:val="5E3B608A"/>
    <w:rsid w:val="61B41752"/>
    <w:rsid w:val="637C7078"/>
    <w:rsid w:val="66D0072C"/>
    <w:rsid w:val="67B96E07"/>
    <w:rsid w:val="68F069FA"/>
    <w:rsid w:val="69CD105C"/>
    <w:rsid w:val="6E6C6C46"/>
    <w:rsid w:val="70376B79"/>
    <w:rsid w:val="738E116E"/>
    <w:rsid w:val="74311149"/>
    <w:rsid w:val="76297689"/>
    <w:rsid w:val="776D1CB2"/>
    <w:rsid w:val="79952692"/>
    <w:rsid w:val="7DE35378"/>
    <w:rsid w:val="7FD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0</TotalTime>
  <ScaleCrop>false</ScaleCrop>
  <LinksUpToDate>false</LinksUpToDate>
  <CharactersWithSpaces>16419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ran嘟嘟</cp:lastModifiedBy>
  <dcterms:modified xsi:type="dcterms:W3CDTF">2021-03-01T09:21:18Z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