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csmb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厅领导，本厅有关处室</w:t>
      </w:r>
      <w:bookmarkEnd w:id="0"/>
      <w:bookmarkStart w:id="1" w:name="yinfadanwei"/>
      <w:r>
        <w:rPr>
          <w:rFonts w:hint="eastAsia" w:ascii="楷体_GB2312" w:hAnsi="黑体" w:eastAsia="楷体_GB2312"/>
          <w:spacing w:val="-30000"/>
          <w:w w:val="1"/>
          <w:sz w:val="10"/>
          <w:szCs w:val="10"/>
        </w:rPr>
        <w:t>新疆维吾尔自治区财政厅</w:t>
      </w:r>
      <w:bookmarkEnd w:id="1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贸促会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4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克孜勒苏贸促会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部门（单位）预算公开表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一、部门（单位）收支总体情况表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二、部门（单位）收入总体情况表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三、部门（单位）支出总体情况表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财政拨款收支预算情况的总体说明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一般公共预算当年拨款情况说明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一般公共预算项目支出情况说明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一般公共预算“三公”经费预算情况说明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政府性基金预算拨款情况说明</w:t>
      </w:r>
    </w:p>
    <w:p>
      <w:pPr>
        <w:widowControl/>
        <w:spacing w:line="44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4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克孜勒苏贸促会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本单位主要职责为：1、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负责国际贸易政策研究和信息咨询工作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。2、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开展境外贸易联络及纠纷调解工作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。3、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参与组织各类境内外展洽会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。4、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负责出口商品原产地证明书、商事证明、货物暂准进出口单证册等的签发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。5、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负责对中国国际商会克孜勒苏商会的指导。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9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克孜勒苏贸促会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科室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办公室、业务科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</w:t>
      </w:r>
    </w:p>
    <w:p>
      <w:pPr>
        <w:pStyle w:val="4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pStyle w:val="4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2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2021年</w:t>
      </w:r>
      <w:r>
        <w:rPr>
          <w:rFonts w:hint="eastAsia" w:ascii="黑体" w:hAnsi="黑体" w:eastAsia="黑体"/>
          <w:kern w:val="0"/>
          <w:sz w:val="32"/>
          <w:szCs w:val="32"/>
        </w:rPr>
        <w:t>部门（单位）预算公开表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克孜勒苏贸促会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103.15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103.15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103.15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  <w:t>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103.15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103.15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克孜勒苏贸促会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10"/>
        <w:tblW w:w="1065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331"/>
        <w:gridCol w:w="331"/>
        <w:gridCol w:w="1295"/>
        <w:gridCol w:w="992"/>
        <w:gridCol w:w="851"/>
        <w:gridCol w:w="850"/>
        <w:gridCol w:w="709"/>
        <w:gridCol w:w="709"/>
        <w:gridCol w:w="567"/>
        <w:gridCol w:w="567"/>
        <w:gridCol w:w="567"/>
        <w:gridCol w:w="567"/>
        <w:gridCol w:w="425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yellow"/>
              </w:rPr>
              <w:t>国有资本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  <w:highlight w:val="yellow"/>
              </w:rPr>
              <w:t>经营预算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级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补助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收</w:t>
            </w: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上级专项收入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单位上年结余（不包含国库集中支付额度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群众团体事务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103.15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103.15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行政运行（群众团体事务）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103.15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103.15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克孜勒苏贸促会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群众团体事务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行政运行（群众团体事务）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103.15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103.15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</w:t>
      </w:r>
      <w:r>
        <w:rPr>
          <w:rFonts w:hint="eastAsia" w:ascii="仿宋_GB2312" w:hAnsi="宋体" w:eastAsia="仿宋_GB2312"/>
          <w:kern w:val="0"/>
          <w:szCs w:val="21"/>
          <w:lang w:eastAsia="zh-CN"/>
        </w:rPr>
        <w:t>克孜勒苏贸促会</w:t>
      </w:r>
      <w:r>
        <w:rPr>
          <w:rFonts w:hint="eastAsia" w:ascii="仿宋_GB2312" w:hAnsi="宋体" w:eastAsia="仿宋_GB2312"/>
          <w:kern w:val="0"/>
          <w:szCs w:val="21"/>
        </w:rPr>
        <w:t xml:space="preserve">                                           单位：万元</w:t>
      </w:r>
    </w:p>
    <w:tbl>
      <w:tblPr>
        <w:tblStyle w:val="10"/>
        <w:tblpPr w:leftFromText="180" w:rightFromText="180" w:vertAnchor="text" w:tblpY="1"/>
        <w:tblOverlap w:val="never"/>
        <w:tblW w:w="94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55"/>
        <w:gridCol w:w="2580"/>
        <w:gridCol w:w="901"/>
        <w:gridCol w:w="940"/>
        <w:gridCol w:w="104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国有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资本经营预算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一、财政拨款（补助）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国有资本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  <w:t>经营预算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与计划生育支出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103.15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500"/>
        <w:gridCol w:w="2427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克孜勒苏贸促会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群众团体事务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行政运行（群众团体事务）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3055"/>
        <w:gridCol w:w="831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克孜勒苏贸促会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30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53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办公费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公务接待费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邮电费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奖励金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电费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办公用品及设备采购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公务用车运行维护费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38.15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103.15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95.43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7.72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克孜勒苏贸促会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2021年克孜勒苏贸促会没有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,本表为空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克孜勒苏贸促会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克孜勒苏贸促会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val="en-US" w:eastAsia="zh-CN"/>
        </w:rPr>
        <w:t>2021年克孜勒苏贸促会没有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</w:rPr>
        <w:t>政府性基金预算支出</w:t>
      </w:r>
      <w:r>
        <w:rPr>
          <w:rFonts w:hint="eastAsia" w:ascii="仿宋_GB2312" w:hAnsi="宋体" w:eastAsia="仿宋_GB2312"/>
          <w:b w:val="0"/>
          <w:bCs/>
          <w:kern w:val="0"/>
          <w:sz w:val="32"/>
          <w:szCs w:val="32"/>
          <w:lang w:eastAsia="zh-CN"/>
        </w:rPr>
        <w:t>，本表为空。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2021年</w:t>
      </w:r>
      <w:r>
        <w:rPr>
          <w:rFonts w:hint="eastAsia" w:ascii="黑体" w:hAnsi="黑体" w:eastAsia="黑体"/>
          <w:kern w:val="0"/>
          <w:sz w:val="32"/>
          <w:szCs w:val="32"/>
        </w:rPr>
        <w:t>部门（单位）预算情况说明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人员变动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国有资本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经营预算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增加一人公用经费和人员变动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2020年、2021年预算未安排项目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收入全部为一般公共预算拨款，无政府性基金预算拨款和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国有资本经营预算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收入预算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103.15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16" w:firstLineChars="200"/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一般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公共预算支出包括：一般公共服务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103.15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，主要用于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一般公共服务支出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克孜勒苏贸促会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5.26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，比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上年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0%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。主要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原因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2020年、2021年未安排项目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）财政事务（款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人员增加。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29.51万元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、津贴补贴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38.15万元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2.46万元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9.76万元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、其他社会保障缴费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、住房公积金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7.12万元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、退休费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1.93万元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0.5万元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、工会经费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0.42万元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项目名称：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一般公共预算“三公”经费比上年增加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用于开展业务工作，走访、调研三县一市外经贸企业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无变化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黑体" w:hAnsi="宋体" w:eastAsia="黑体" w:cs="宋体"/>
          <w:kern w:val="0"/>
          <w:sz w:val="32"/>
          <w:szCs w:val="32"/>
        </w:rPr>
        <w:t>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人员变动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2021年</w:t>
      </w:r>
      <w:r>
        <w:rPr>
          <w:rFonts w:hint="eastAsia" w:ascii="仿宋_GB2312" w:hAnsi="仿宋_GB2312" w:eastAsia="仿宋_GB2312"/>
          <w:sz w:val="32"/>
        </w:rPr>
        <w:t>度本部门（单位）面向中小企业预留政府采购项目预算金额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部门（单位）预算未安排购置车辆经费（或安排购置车辆经费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年度，本年度实行绩效管理的一般公共预算项目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tbl>
      <w:tblPr>
        <w:tblStyle w:val="10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52"/>
        <w:gridCol w:w="1224"/>
        <w:gridCol w:w="1476"/>
        <w:gridCol w:w="1039"/>
        <w:gridCol w:w="1481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（2021年）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预算单位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克孜勒苏贸促会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项目资金（万元）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年度资金总额：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项目总体目标</w:t>
            </w:r>
          </w:p>
        </w:tc>
        <w:tc>
          <w:tcPr>
            <w:tcW w:w="78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成本指标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3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480" w:lineRule="exact"/>
        <w:ind w:firstLine="643" w:firstLineChars="20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克孜勒苏贸促会没有其他需说明的事项。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指由一般公共预算、政府性基金预算、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国有资本经营预算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部门（单位）支出预算的组成部分，是自治区本级部门（单位）为完成其特定的行政任务或事业发展目标，在基本支出预算之外编制的年度项目支出计划。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自治州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克孜勒苏贸促会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2021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>
      <w:pPr>
        <w:spacing w:line="600" w:lineRule="exact"/>
        <w:jc w:val="both"/>
        <w:rPr>
          <w:rFonts w:ascii="仿宋_GB2312" w:eastAsia="仿宋_GB2312"/>
          <w:sz w:val="32"/>
          <w:szCs w:val="32"/>
        </w:rPr>
      </w:pPr>
    </w:p>
    <w:sectPr>
      <w:footerReference r:id="rId7" w:type="default"/>
      <w:footerReference r:id="rId8" w:type="even"/>
      <w:pgSz w:w="11906" w:h="16838"/>
      <w:pgMar w:top="2041" w:right="1276" w:bottom="2041" w:left="1276" w:header="851" w:footer="1814" w:gutter="0"/>
      <w:pgNumType w:fmt="numberInDash"/>
      <w:cols w:space="720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631" w:y="37"/>
      <w:jc w:val="right"/>
      <w:rPr>
        <w:rStyle w:val="14"/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fldChar w:fldCharType="begin"/>
    </w:r>
    <w:r>
      <w:rPr>
        <w:rStyle w:val="14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14"/>
        <w:rFonts w:ascii="宋体" w:hAnsi="宋体" w:eastAsia="宋体"/>
        <w:sz w:val="28"/>
      </w:rPr>
      <w:t>- 33 -</w:t>
    </w:r>
    <w:r>
      <w:rPr>
        <w:rFonts w:ascii="宋体" w:hAnsi="宋体" w:eastAsia="宋体"/>
        <w:sz w:val="28"/>
      </w:rPr>
      <w:fldChar w:fldCharType="end"/>
    </w:r>
    <w:r>
      <w:rPr>
        <w:rStyle w:val="14"/>
        <w:rFonts w:hint="eastAsia" w:ascii="宋体" w:hAnsi="宋体" w:eastAsia="宋体"/>
        <w:sz w:val="28"/>
      </w:rPr>
      <w:t xml:space="preserve"> </w:t>
    </w:r>
  </w:p>
  <w:p>
    <w:pPr>
      <w:pStyle w:val="6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756" w:y="37"/>
      <w:rPr>
        <w:rStyle w:val="14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- 34 -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194146"/>
    <w:multiLevelType w:val="singleLevel"/>
    <w:tmpl w:val="9719414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F"/>
    <w:rsid w:val="0009522A"/>
    <w:rsid w:val="00121764"/>
    <w:rsid w:val="001410DA"/>
    <w:rsid w:val="001662FE"/>
    <w:rsid w:val="00172C01"/>
    <w:rsid w:val="00186398"/>
    <w:rsid w:val="001D3009"/>
    <w:rsid w:val="002166BA"/>
    <w:rsid w:val="00324290"/>
    <w:rsid w:val="00396814"/>
    <w:rsid w:val="003B4B5F"/>
    <w:rsid w:val="003C61E3"/>
    <w:rsid w:val="00432267"/>
    <w:rsid w:val="00493EEC"/>
    <w:rsid w:val="004B5A44"/>
    <w:rsid w:val="004D2619"/>
    <w:rsid w:val="004F62F9"/>
    <w:rsid w:val="00520D5A"/>
    <w:rsid w:val="006B6A8C"/>
    <w:rsid w:val="006D5EAD"/>
    <w:rsid w:val="007219F8"/>
    <w:rsid w:val="007E2CEA"/>
    <w:rsid w:val="009035BA"/>
    <w:rsid w:val="00907796"/>
    <w:rsid w:val="0096028F"/>
    <w:rsid w:val="0099744C"/>
    <w:rsid w:val="009C6198"/>
    <w:rsid w:val="00A9706D"/>
    <w:rsid w:val="00B127E0"/>
    <w:rsid w:val="00BA582F"/>
    <w:rsid w:val="00C117E5"/>
    <w:rsid w:val="00CA4E1E"/>
    <w:rsid w:val="00DC05BF"/>
    <w:rsid w:val="00E72E1E"/>
    <w:rsid w:val="00EC6097"/>
    <w:rsid w:val="00F23808"/>
    <w:rsid w:val="00F54FE8"/>
    <w:rsid w:val="00F830A1"/>
    <w:rsid w:val="00F83503"/>
    <w:rsid w:val="00F90952"/>
    <w:rsid w:val="013F5270"/>
    <w:rsid w:val="021F2697"/>
    <w:rsid w:val="022A5FAF"/>
    <w:rsid w:val="02B2405A"/>
    <w:rsid w:val="03972454"/>
    <w:rsid w:val="03DA6739"/>
    <w:rsid w:val="04D2251D"/>
    <w:rsid w:val="04F82E60"/>
    <w:rsid w:val="053B2DA7"/>
    <w:rsid w:val="05EE22EE"/>
    <w:rsid w:val="06976E80"/>
    <w:rsid w:val="078F1BBA"/>
    <w:rsid w:val="08084A3A"/>
    <w:rsid w:val="08602ED6"/>
    <w:rsid w:val="09C65C0A"/>
    <w:rsid w:val="0AB52A08"/>
    <w:rsid w:val="0CA5417B"/>
    <w:rsid w:val="0D9001DE"/>
    <w:rsid w:val="0DA01AB2"/>
    <w:rsid w:val="0ED337E9"/>
    <w:rsid w:val="0F893ECB"/>
    <w:rsid w:val="0FD215EE"/>
    <w:rsid w:val="109602F7"/>
    <w:rsid w:val="10B47CD6"/>
    <w:rsid w:val="10FE276C"/>
    <w:rsid w:val="11F4727A"/>
    <w:rsid w:val="12E82941"/>
    <w:rsid w:val="147D4BE8"/>
    <w:rsid w:val="14DB4365"/>
    <w:rsid w:val="170929FE"/>
    <w:rsid w:val="17A77070"/>
    <w:rsid w:val="17FA4350"/>
    <w:rsid w:val="1A6B07CF"/>
    <w:rsid w:val="1ADB67D3"/>
    <w:rsid w:val="1B49679F"/>
    <w:rsid w:val="1B8B724D"/>
    <w:rsid w:val="1C645E9E"/>
    <w:rsid w:val="1C671E7F"/>
    <w:rsid w:val="1D1A01BC"/>
    <w:rsid w:val="1FA85AE6"/>
    <w:rsid w:val="1FBD548D"/>
    <w:rsid w:val="20273069"/>
    <w:rsid w:val="208D4623"/>
    <w:rsid w:val="20AF139B"/>
    <w:rsid w:val="20B00E87"/>
    <w:rsid w:val="210D5C0C"/>
    <w:rsid w:val="21441A58"/>
    <w:rsid w:val="21BB0E52"/>
    <w:rsid w:val="2467059E"/>
    <w:rsid w:val="25F32328"/>
    <w:rsid w:val="2670015A"/>
    <w:rsid w:val="26D66AAC"/>
    <w:rsid w:val="2A1D3237"/>
    <w:rsid w:val="2AE41781"/>
    <w:rsid w:val="2AFF5FAA"/>
    <w:rsid w:val="2B402DBD"/>
    <w:rsid w:val="2E287547"/>
    <w:rsid w:val="2ECE7809"/>
    <w:rsid w:val="2F2345FF"/>
    <w:rsid w:val="2F663388"/>
    <w:rsid w:val="302F1E9E"/>
    <w:rsid w:val="31C00B0E"/>
    <w:rsid w:val="32EA0E29"/>
    <w:rsid w:val="33282D3B"/>
    <w:rsid w:val="354E16DF"/>
    <w:rsid w:val="35E17638"/>
    <w:rsid w:val="374E2831"/>
    <w:rsid w:val="39DE122D"/>
    <w:rsid w:val="3A0F4546"/>
    <w:rsid w:val="3A337A75"/>
    <w:rsid w:val="3AD3773A"/>
    <w:rsid w:val="3ADA5211"/>
    <w:rsid w:val="3C797F92"/>
    <w:rsid w:val="3CF629EB"/>
    <w:rsid w:val="3D8C7094"/>
    <w:rsid w:val="3DE60923"/>
    <w:rsid w:val="3E7462A6"/>
    <w:rsid w:val="4077226A"/>
    <w:rsid w:val="4082033B"/>
    <w:rsid w:val="42530AA7"/>
    <w:rsid w:val="43017148"/>
    <w:rsid w:val="46581C1A"/>
    <w:rsid w:val="489172A5"/>
    <w:rsid w:val="48A44DF9"/>
    <w:rsid w:val="48A73C47"/>
    <w:rsid w:val="48B9443A"/>
    <w:rsid w:val="4A293BD7"/>
    <w:rsid w:val="4A79625D"/>
    <w:rsid w:val="4D593A25"/>
    <w:rsid w:val="4D8A073D"/>
    <w:rsid w:val="4E9C1FAD"/>
    <w:rsid w:val="4EA1263C"/>
    <w:rsid w:val="4EE514F8"/>
    <w:rsid w:val="4F7A3CDE"/>
    <w:rsid w:val="4F8C55C2"/>
    <w:rsid w:val="4F8E4E89"/>
    <w:rsid w:val="503B38F1"/>
    <w:rsid w:val="50E13F09"/>
    <w:rsid w:val="52602D38"/>
    <w:rsid w:val="52AC1B0A"/>
    <w:rsid w:val="53501E9D"/>
    <w:rsid w:val="535E53F2"/>
    <w:rsid w:val="537A2034"/>
    <w:rsid w:val="54ED3D97"/>
    <w:rsid w:val="568013A8"/>
    <w:rsid w:val="57C9461D"/>
    <w:rsid w:val="599E0CE5"/>
    <w:rsid w:val="5A502062"/>
    <w:rsid w:val="5AA87542"/>
    <w:rsid w:val="5ABB11B1"/>
    <w:rsid w:val="5AF16A68"/>
    <w:rsid w:val="5BA100A5"/>
    <w:rsid w:val="5C3C47A4"/>
    <w:rsid w:val="5D3B1454"/>
    <w:rsid w:val="5D6A5A45"/>
    <w:rsid w:val="5DA9182C"/>
    <w:rsid w:val="5E242049"/>
    <w:rsid w:val="5FEC0970"/>
    <w:rsid w:val="608D4F9E"/>
    <w:rsid w:val="624C3D9F"/>
    <w:rsid w:val="62D5684D"/>
    <w:rsid w:val="63A33ED1"/>
    <w:rsid w:val="64D42057"/>
    <w:rsid w:val="65C87F67"/>
    <w:rsid w:val="67AF2256"/>
    <w:rsid w:val="681A4520"/>
    <w:rsid w:val="6AD61228"/>
    <w:rsid w:val="6C610F02"/>
    <w:rsid w:val="6D1308B0"/>
    <w:rsid w:val="6F0B603F"/>
    <w:rsid w:val="6F6C582A"/>
    <w:rsid w:val="70504961"/>
    <w:rsid w:val="70EB023A"/>
    <w:rsid w:val="70F81384"/>
    <w:rsid w:val="73193A4F"/>
    <w:rsid w:val="733B77A3"/>
    <w:rsid w:val="734A6D8F"/>
    <w:rsid w:val="75347C91"/>
    <w:rsid w:val="77C853F3"/>
    <w:rsid w:val="78626E51"/>
    <w:rsid w:val="79A55C1E"/>
    <w:rsid w:val="79AD6AF4"/>
    <w:rsid w:val="7A1D02D5"/>
    <w:rsid w:val="7BA636C8"/>
    <w:rsid w:val="7C415EEB"/>
    <w:rsid w:val="7EEB5CAA"/>
    <w:rsid w:val="7F22036D"/>
    <w:rsid w:val="7FE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iPriority w:val="99"/>
    <w:pPr>
      <w:ind w:firstLine="420" w:firstLineChars="200"/>
    </w:pPr>
  </w:style>
  <w:style w:type="paragraph" w:styleId="3">
    <w:name w:val="Body Text Indent"/>
    <w:basedOn w:val="1"/>
    <w:semiHidden/>
    <w:uiPriority w:val="99"/>
    <w:pPr>
      <w:ind w:left="420" w:leftChars="200"/>
    </w:pPr>
  </w:style>
  <w:style w:type="paragraph" w:styleId="5">
    <w:name w:val="Balloon Text"/>
    <w:basedOn w:val="1"/>
    <w:link w:val="17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link w:val="18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字符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link w:val="5"/>
    <w:semiHidden/>
    <w:qFormat/>
    <w:uiPriority w:val="0"/>
    <w:rPr>
      <w:sz w:val="18"/>
      <w:szCs w:val="18"/>
    </w:rPr>
  </w:style>
  <w:style w:type="character" w:customStyle="1" w:styleId="18">
    <w:name w:val="正文文本缩进 3 字符"/>
    <w:link w:val="8"/>
    <w:qFormat/>
    <w:uiPriority w:val="0"/>
    <w:rPr>
      <w:rFonts w:eastAsia="仿宋_GB2312"/>
      <w:sz w:val="32"/>
      <w:szCs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character" w:customStyle="1" w:styleId="20">
    <w:name w:val="正文文本缩进 3 字符1"/>
    <w:basedOn w:val="1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3">
    <w:name w:val="批注框文本 字符1"/>
    <w:basedOn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25">
    <w:name w:val="普通(网站)1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2401</Words>
  <Characters>13686</Characters>
  <Lines>114</Lines>
  <Paragraphs>32</Paragraphs>
  <TotalTime>0</TotalTime>
  <ScaleCrop>false</ScaleCrop>
  <LinksUpToDate>false</LinksUpToDate>
  <CharactersWithSpaces>16055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2021-01-27T08:28:00Z</dcterms:created>
  <dc:creator>薛理升</dc:creator>
  <cp:lastModifiedBy>Administrator</cp:lastModifiedBy>
  <dcterms:modified xsi:type="dcterms:W3CDTF">2021-03-03T09:37:14Z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