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新疆维吾尔自治区财政厅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克孜勒苏柯尔克孜自治州第三中学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克州第三中学概况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一、部门（单位）收支总体情况表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二、部门（单位）收入总体情况表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三、部门（单位）支出总体情况表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一、关于克州第三中学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二、关于克州第三中学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三、关于克州第三中学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克州第三中学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五、关于克州第三中学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六、关于克州第三中学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七、关于克州第三中学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八、关于克州第三中学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九、关于克州第三中学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克州第三中学概况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克孜勒苏柯尔克孜自治州第三中学创建于1956年，是克州规模最大的寄宿制公办高中。学校全面贯彻党和国家的教育方针，坚持把立德树人作为教育的根本，坚持教育为现代化建设服务、为人民服务。落实好党和国家有关教育的法律、法规，努力办好人民满意的教育，培养德、智、体、美全面发展的社会主义建设者和接班人。为学生创造良好的学习环境，只要你有梦想，克州三中就会给你平台。在这个校园，学生和老师们都能得到最好的成长！在新时代，克州第三中学全体师生员工团结一心，根植中华文化沃土，传承中华民族精神，与时俱进，开拓进取，不断再创克州教育新辉煌！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克州第三中学无下属预算单位，下设7个处室，分别是：办公室、总务处、教导处、政教处、教研室、电教处、保卫科。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克州第三中学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编制数241，实有人数4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人，其中：在职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人；离休0人，增加0人。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2021年</w:t>
      </w:r>
      <w:r>
        <w:rPr>
          <w:rFonts w:hint="eastAsia" w:ascii="黑体" w:hAnsi="黑体" w:eastAsia="黑体"/>
          <w:kern w:val="0"/>
          <w:sz w:val="32"/>
          <w:szCs w:val="32"/>
        </w:rPr>
        <w:t>克州第三中学预算公开表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克州第三中学收支总体情况表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克州第三中学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4931.33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4931.33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5329.97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339.34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5270.67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59.3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5329.97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5329.97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克州第三中学收入总体情况表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克州第三中学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7"/>
        <w:tblpPr w:leftFromText="180" w:rightFromText="180" w:vertAnchor="text" w:horzAnchor="page" w:tblpX="547" w:tblpY="116"/>
        <w:tblOverlap w:val="never"/>
        <w:tblW w:w="110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0"/>
        <w:gridCol w:w="465"/>
        <w:gridCol w:w="709"/>
        <w:gridCol w:w="1061"/>
        <w:gridCol w:w="1069"/>
        <w:gridCol w:w="671"/>
        <w:gridCol w:w="675"/>
        <w:gridCol w:w="540"/>
        <w:gridCol w:w="420"/>
        <w:gridCol w:w="480"/>
        <w:gridCol w:w="555"/>
        <w:gridCol w:w="853"/>
        <w:gridCol w:w="1043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  计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政府性基金预算拨款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上级专项收入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5,329.97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4,931.33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339.34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5,329.97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4,931.33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339.34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5,329.97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4,931.33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339.34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合 计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5329.97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4931.33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339.34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59.30</w:t>
            </w:r>
          </w:p>
        </w:tc>
      </w:tr>
    </w:tbl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克州第三中学支出总体情况表</w:t>
      </w: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克州第三中学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17"/>
        <w:gridCol w:w="417"/>
        <w:gridCol w:w="2555"/>
        <w:gridCol w:w="1835"/>
        <w:gridCol w:w="1836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5,329.97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5,287.81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5,329.97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5,287.81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5,329.97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5,287.81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5,329.97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5,287.81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克州第三中学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4931.33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4931.33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4931.33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4931.33 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4,931.33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4931.33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4931.33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4931.33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克州第三中学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4,931.33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4,889.17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4,931.33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4,889.17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4,931.33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4,889.17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40"/>
        <w:gridCol w:w="2784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克州第三中学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128.03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30399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1,817.51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1,817.51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110.19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105.25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105.25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492.52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492.52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355.18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355.18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38.73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1,527.72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1,527.72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4,889.17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4,718.74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170.43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pPr w:leftFromText="180" w:rightFromText="180" w:vertAnchor="text" w:horzAnchor="page" w:tblpX="1277" w:tblpY="147"/>
        <w:tblOverlap w:val="never"/>
        <w:tblW w:w="100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682"/>
        <w:gridCol w:w="536"/>
        <w:gridCol w:w="536"/>
        <w:gridCol w:w="1149"/>
        <w:gridCol w:w="1158"/>
        <w:gridCol w:w="750"/>
        <w:gridCol w:w="95"/>
        <w:gridCol w:w="459"/>
        <w:gridCol w:w="808"/>
        <w:gridCol w:w="384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8" w:type="dxa"/>
          <w:trHeight w:val="375" w:hRule="atLeast"/>
        </w:trPr>
        <w:tc>
          <w:tcPr>
            <w:tcW w:w="10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8" w:type="dxa"/>
          <w:trHeight w:val="405" w:hRule="atLeast"/>
        </w:trPr>
        <w:tc>
          <w:tcPr>
            <w:tcW w:w="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编制部门：克州第三中学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6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5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9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14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寄宿生住宿费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42.16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49" w:type="dxa"/>
            <w:shd w:val="clear" w:color="auto" w:fill="auto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42.16 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42.16 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克州第三中学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克州三中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2021年无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一般公共预算“三公”经费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支出，故此表为空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克州第三中学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克州三中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2021年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无政府性基金预算拨款安排的支出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，故此表为空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2021年</w:t>
      </w:r>
      <w:r>
        <w:rPr>
          <w:rFonts w:hint="eastAsia" w:ascii="黑体" w:hAnsi="黑体" w:eastAsia="黑体"/>
          <w:kern w:val="0"/>
          <w:sz w:val="32"/>
          <w:szCs w:val="32"/>
        </w:rPr>
        <w:t>克州第三中学预算情况说明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关于克州第三中学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按照全口径预算的原则，克州第三中学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年所有收入和支出均纳入部门（单位）预算管理。收支总预算5329.97万元。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收入预算包括：一般公共预算4931.33万元、上级专项收入339.34万元、单位上年结余59.3万元（不包括国库集中支付额度结余）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国有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资金经营预算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支出预算包括：教育支出5329.97万元。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二、关于第三中学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克州第三中学收入预算5329.97万元，其中：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一般公共预算4931.33万元，占9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2020年新增特岗教师29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国有资本经营预算未安排。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上级专项收入339.34万元，占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2021年预算在校生人数2617人，比上年增加59人。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单位上年结余（不包括国库集中支付额度结余）59.3万元，占1.12%，比上年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减少155.7万元，其中：2020年高中免学费中含上年度结余103万元，福利费35万元。主要原因2019年项目当年已完工，当年未及时支付于2020年进行支出。同时2020年资金按时支付。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三、关于克州第三中学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克州第三中学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年支出预算5329.97万元，其中：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基本支出5287.81万元，占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人员增加人员经费增多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项目支出42.16万元，占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2020年艺体楼建设项目已完工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四、关于克州第三中学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年财政拨款收支总预算4931.33万元。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和国有资本经营预算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收入预算包括：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4931.33万元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一般公共预算支出包括：一般公共服务支出4931.33万元，主要用于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支付职工薪酬、社会保障缴费及学校日常运行开支。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五、关于克州第三中学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克州第三中学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年一般公共预算拨款合计4931.33万元，其中：基本支出4889.17万元，比上年预算增加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168.86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人员增加，一般公共预算拨款人员经费增多，工资发放数额增加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减少12.48万元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，下降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2019年群众工作人员经费在项目中核算，2021年此款项未列入项目。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教育支出</w:t>
      </w:r>
      <w:r>
        <w:rPr>
          <w:rFonts w:hint="eastAsia" w:ascii="仿宋_GB2312" w:eastAsia="仿宋_GB2312"/>
          <w:sz w:val="32"/>
          <w:szCs w:val="32"/>
        </w:rPr>
        <w:t>（类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4931.33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1.教育支出（类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）普通教育（款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）高中教育（项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）:202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4931.33万元，比上年预算增加211.02万元，增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人员增加，一般公共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拨款人员经</w:t>
      </w:r>
      <w:bookmarkStart w:id="2" w:name="_GoBack"/>
      <w:bookmarkEnd w:id="2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费增多，工资发放数额增加。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六、关于克州第三中学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克州第三中学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4889.17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4718.74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万元，主要包括：基本工资1527.72万元、津贴补贴1817.5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万元、奖金128.03万元、机关事业单位基本养老保险缴费492.52万元、其他社会保障缴费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万元、住房公积金355.18万元、退休费45.09万元、生活补助3万元、其他对个人和家庭的补助等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、助学金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105.25万元、奖励金7.79万元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公用经费170.43万元，主要包括：取暖费110.1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关于克州第三中学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3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寄宿生住宿费</w:t>
      </w:r>
    </w:p>
    <w:p>
      <w:pPr>
        <w:widowControl/>
        <w:spacing w:line="50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：根据州财政局相关政策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克州第三中学</w:t>
      </w:r>
    </w:p>
    <w:p>
      <w:pPr>
        <w:widowControl/>
        <w:spacing w:line="500" w:lineRule="exact"/>
        <w:ind w:left="630" w:leftChars="3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：主要用于学校日常运行的水费、电费、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电话费支出。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1月-12月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八、关于克州第三中学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克州第三中学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年一般公共预算“三公”经费数为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万元，其中：因公出国（境）费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万元，公务用车购置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万元，公务用车运行费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万元，公务接待费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2021年</w:t>
      </w:r>
      <w:r>
        <w:rPr>
          <w:rFonts w:hint="eastAsia" w:ascii="仿宋_GB2312" w:hAnsi="黑体" w:eastAsia="仿宋_GB2312"/>
          <w:sz w:val="32"/>
          <w:szCs w:val="32"/>
        </w:rPr>
        <w:t>一般公共预算“三公”经费比上年增加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万元，其中：因公出国（境）费增加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万元，主要原因是未安排预算；公务用车购置费为0，未安排预算。公务用车运行费增加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万元，主要原因是未安排预算；公务接待费增加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九、关于克州第三中学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克州第三中学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，克州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1.39</w:t>
      </w:r>
      <w:r>
        <w:rPr>
          <w:rFonts w:hint="eastAsia" w:ascii="仿宋_GB2312" w:hAnsi="黑体" w:eastAsia="仿宋_GB2312"/>
          <w:sz w:val="32"/>
          <w:szCs w:val="32"/>
        </w:rPr>
        <w:t>%。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其中：工会经费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21.52万元，比上年预算增加1.03万元，增加5.03%；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福利费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38.73万元，比上年预算增加1.84万元，增加4.99%；</w:t>
      </w:r>
      <w:r>
        <w:rPr>
          <w:rFonts w:hint="eastAsia" w:ascii="仿宋_GB2312" w:hAnsi="黑体" w:eastAsia="仿宋_GB2312"/>
          <w:sz w:val="32"/>
          <w:szCs w:val="32"/>
        </w:rPr>
        <w:t>主要原因是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单位人员增加，福利费和工会经费略有增加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公用取暖费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110.19万元，比上年预算减少0.57万元，减少0.52%；</w:t>
      </w:r>
      <w:r>
        <w:rPr>
          <w:rFonts w:hint="eastAsia" w:ascii="仿宋_GB2312" w:hAnsi="黑体" w:eastAsia="仿宋_GB2312"/>
          <w:sz w:val="32"/>
          <w:szCs w:val="32"/>
        </w:rPr>
        <w:t>主要原因是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2020年公用取暖费核定面积及2020年底热力公司签订合同修正取暖费。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2021年</w:t>
      </w:r>
      <w:r>
        <w:rPr>
          <w:rFonts w:hint="eastAsia" w:ascii="仿宋_GB2312" w:hAnsi="黑体" w:eastAsia="仿宋_GB2312"/>
          <w:sz w:val="32"/>
          <w:szCs w:val="32"/>
        </w:rPr>
        <w:t>一般公共预算“三公”经费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中，公务用车经费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8.2万元，于上级专项收入中列支，比2020年预算减少0.8万元，减少8.89%，主要原因是严格落实公车运行制度，节约开支。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克州三中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306.73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157.6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2021年</w:t>
      </w:r>
      <w:r>
        <w:rPr>
          <w:rFonts w:hint="eastAsia" w:ascii="仿宋_GB2312" w:hAnsi="仿宋_GB2312" w:eastAsia="仿宋_GB2312"/>
          <w:sz w:val="32"/>
        </w:rPr>
        <w:t>度本</w:t>
      </w:r>
      <w:r>
        <w:rPr>
          <w:rFonts w:hint="eastAsia" w:ascii="仿宋_GB2312" w:hAnsi="仿宋_GB2312" w:eastAsia="仿宋_GB2312"/>
          <w:sz w:val="32"/>
          <w:lang w:eastAsia="zh-CN"/>
        </w:rPr>
        <w:t>克州三中</w:t>
      </w:r>
      <w:r>
        <w:rPr>
          <w:rFonts w:hint="eastAsia" w:ascii="仿宋_GB2312" w:hAnsi="仿宋_GB2312" w:eastAsia="仿宋_GB2312"/>
          <w:sz w:val="32"/>
        </w:rPr>
        <w:t>面向中小企业预留政府采购项目预算金额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306.73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300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克州三中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1.房屋60615.4平方米，价值7812.08万元。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2.车辆3辆，价值47.36万元；其中：一般公务用车2辆，价值35.81万元；执法执勤用车0辆，价值0万元；其他车辆1辆，价值11.55万元。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883.36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1534.32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2021年克州三中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年度，本年度实行绩效管理的一般公共预算项目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克孜勒苏柯尔克孜自治州第三中学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寄宿生住宿费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42.16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42.16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寄宿生生活补助项目响应国家政策，保证了家庭经济困难寄宿生的学习生活。项目的费用42.16万元主要用于补贴校园正常运行中必要的水、电、电话费支出。给在校生提供了良好的学习、生活环境。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寄宿生人数(人）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水资源支付（次）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电话费支付（次）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电资源支付（次）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设备定期检查完成率（%）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受益生均补助（元/人/年）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水资源成本（万元）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电话费成本（万元）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电资源成本（万元）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学生节能减排实践合格率(％)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节能知识宣传覆盖率（%）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能源利用率（%）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节能减排意识提高情况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受益学生满意度（%）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受益教师满意度（%）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克州第三中学无其他需说明的事项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部门（单位）支出预算的组成部分，是自治区本级部门（单位）为完成其特定的行政任务或事业发展目标，在基本支出预算之外编制的年度项目支出计划。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克州三中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>
      <w:pPr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31" w:y="37"/>
      <w:jc w:val="right"/>
      <w:rPr>
        <w:rStyle w:val="11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11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11"/>
        <w:rFonts w:hint="eastAsia" w:ascii="宋体" w:hAnsi="宋体" w:eastAsia="宋体"/>
        <w:sz w:val="28"/>
      </w:rPr>
      <w:t xml:space="preserve"> 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56" w:y="37"/>
      <w:rPr>
        <w:rStyle w:val="11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3FA5"/>
    <w:multiLevelType w:val="singleLevel"/>
    <w:tmpl w:val="33673FA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9522A"/>
    <w:rsid w:val="00121764"/>
    <w:rsid w:val="001410DA"/>
    <w:rsid w:val="001662FE"/>
    <w:rsid w:val="00172C01"/>
    <w:rsid w:val="00186398"/>
    <w:rsid w:val="001D3009"/>
    <w:rsid w:val="001F2481"/>
    <w:rsid w:val="002166BA"/>
    <w:rsid w:val="00324290"/>
    <w:rsid w:val="00396814"/>
    <w:rsid w:val="003B4B5F"/>
    <w:rsid w:val="003C61E3"/>
    <w:rsid w:val="00432267"/>
    <w:rsid w:val="0049352A"/>
    <w:rsid w:val="00493EEC"/>
    <w:rsid w:val="004B5A44"/>
    <w:rsid w:val="004D2619"/>
    <w:rsid w:val="004F62F9"/>
    <w:rsid w:val="00520D5A"/>
    <w:rsid w:val="006B6A8C"/>
    <w:rsid w:val="006D5EAD"/>
    <w:rsid w:val="006F72D2"/>
    <w:rsid w:val="007219F8"/>
    <w:rsid w:val="007E2CEA"/>
    <w:rsid w:val="009035BA"/>
    <w:rsid w:val="00907796"/>
    <w:rsid w:val="0096028F"/>
    <w:rsid w:val="0099744C"/>
    <w:rsid w:val="009C6198"/>
    <w:rsid w:val="00A9706D"/>
    <w:rsid w:val="00B127E0"/>
    <w:rsid w:val="00BA582F"/>
    <w:rsid w:val="00C117E5"/>
    <w:rsid w:val="00CA4E1E"/>
    <w:rsid w:val="00DC05BF"/>
    <w:rsid w:val="00E72E1E"/>
    <w:rsid w:val="00F23808"/>
    <w:rsid w:val="00F54FE8"/>
    <w:rsid w:val="00F830A1"/>
    <w:rsid w:val="00F83503"/>
    <w:rsid w:val="00F90952"/>
    <w:rsid w:val="015C34B7"/>
    <w:rsid w:val="025307A6"/>
    <w:rsid w:val="059D64FB"/>
    <w:rsid w:val="06861531"/>
    <w:rsid w:val="0AE7425B"/>
    <w:rsid w:val="0DAA4F81"/>
    <w:rsid w:val="0DD67947"/>
    <w:rsid w:val="0EB73119"/>
    <w:rsid w:val="0EDA4E46"/>
    <w:rsid w:val="0F087C92"/>
    <w:rsid w:val="11E850B0"/>
    <w:rsid w:val="147D4BE8"/>
    <w:rsid w:val="14AE6B89"/>
    <w:rsid w:val="15AB5114"/>
    <w:rsid w:val="16CA5AB6"/>
    <w:rsid w:val="1915095B"/>
    <w:rsid w:val="1ADB67D3"/>
    <w:rsid w:val="1B3A7392"/>
    <w:rsid w:val="1B940DAE"/>
    <w:rsid w:val="1FA74D77"/>
    <w:rsid w:val="20442A65"/>
    <w:rsid w:val="220F0C55"/>
    <w:rsid w:val="279C620A"/>
    <w:rsid w:val="2D860BA1"/>
    <w:rsid w:val="39D67782"/>
    <w:rsid w:val="3BF57516"/>
    <w:rsid w:val="3CE30672"/>
    <w:rsid w:val="3CE34B56"/>
    <w:rsid w:val="3F147355"/>
    <w:rsid w:val="3FED573F"/>
    <w:rsid w:val="3FFA7BE0"/>
    <w:rsid w:val="4143052F"/>
    <w:rsid w:val="416C2131"/>
    <w:rsid w:val="41C57483"/>
    <w:rsid w:val="46453E8C"/>
    <w:rsid w:val="48A80A58"/>
    <w:rsid w:val="49FC343B"/>
    <w:rsid w:val="4A21428A"/>
    <w:rsid w:val="4EE514F8"/>
    <w:rsid w:val="50F90674"/>
    <w:rsid w:val="653E7DFF"/>
    <w:rsid w:val="66733487"/>
    <w:rsid w:val="685A714B"/>
    <w:rsid w:val="68957C5D"/>
    <w:rsid w:val="68C93372"/>
    <w:rsid w:val="6BB559DC"/>
    <w:rsid w:val="6DF2158F"/>
    <w:rsid w:val="71362583"/>
    <w:rsid w:val="72555019"/>
    <w:rsid w:val="754671B3"/>
    <w:rsid w:val="75646A48"/>
    <w:rsid w:val="7725785F"/>
    <w:rsid w:val="77C83F9E"/>
    <w:rsid w:val="791C2FC1"/>
    <w:rsid w:val="7A1D4AE4"/>
    <w:rsid w:val="7C4752AC"/>
    <w:rsid w:val="7D3970E1"/>
    <w:rsid w:val="7E0741F1"/>
    <w:rsid w:val="7E4F3FCE"/>
    <w:rsid w:val="7FC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link w:val="2"/>
    <w:semiHidden/>
    <w:qFormat/>
    <w:uiPriority w:val="0"/>
    <w:rPr>
      <w:sz w:val="18"/>
      <w:szCs w:val="18"/>
    </w:rPr>
  </w:style>
  <w:style w:type="character" w:customStyle="1" w:styleId="15">
    <w:name w:val="正文文本缩进 3 字符"/>
    <w:link w:val="5"/>
    <w:qFormat/>
    <w:uiPriority w:val="0"/>
    <w:rPr>
      <w:rFonts w:eastAsia="仿宋_GB2312"/>
      <w:sz w:val="32"/>
      <w:szCs w:val="24"/>
    </w:rPr>
  </w:style>
  <w:style w:type="paragraph" w:customStyle="1" w:styleId="16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正文文本缩进 3 字符1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批注框文本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2401</Words>
  <Characters>13686</Characters>
  <Lines>114</Lines>
  <Paragraphs>32</Paragraphs>
  <TotalTime>1</TotalTime>
  <ScaleCrop>false</ScaleCrop>
  <LinksUpToDate>false</LinksUpToDate>
  <CharactersWithSpaces>16055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2021-01-27T08:28:00Z</dcterms:created>
  <dc:creator>薛理升</dc:creator>
  <cp:lastModifiedBy>Administrator</cp:lastModifiedBy>
  <dcterms:modified xsi:type="dcterms:W3CDTF">2021-03-02T08:21:09Z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