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方正小标宋_GBK" w:hAnsi="宋体" w:eastAsia="方正小标宋_GBK"/>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克孜勒苏柯尔克孜自治州工业和信息化局</w:t>
      </w: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克孜勒苏柯尔克孜自治州工业和信息化局</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eastAsia="zh-CN"/>
        </w:rPr>
        <w:t>2021年</w:t>
      </w:r>
      <w:r>
        <w:rPr>
          <w:rFonts w:hint="eastAsia" w:ascii="仿宋_GB2312" w:hAnsi="宋体" w:eastAsia="仿宋_GB2312"/>
          <w:b/>
          <w:kern w:val="0"/>
          <w:sz w:val="32"/>
          <w:szCs w:val="32"/>
        </w:rPr>
        <w:t>部门预算公开表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2021年克孜勒苏柯尔克孜自治州工业和信息化局</w:t>
      </w:r>
      <w:r>
        <w:rPr>
          <w:rFonts w:hint="eastAsia" w:ascii="仿宋_GB2312" w:hAnsi="宋体" w:eastAsia="仿宋_GB2312"/>
          <w:b/>
          <w:kern w:val="0"/>
          <w:sz w:val="32"/>
          <w:szCs w:val="32"/>
        </w:rPr>
        <w:t>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克孜勒苏柯尔克孜自治州工业和信息化局2021年</w:t>
      </w:r>
      <w:r>
        <w:rPr>
          <w:rFonts w:hint="eastAsia" w:ascii="仿宋_GB2312" w:hAnsi="宋体" w:eastAsia="仿宋_GB2312"/>
          <w:bCs/>
          <w:kern w:val="0"/>
          <w:sz w:val="32"/>
          <w:szCs w:val="32"/>
        </w:rPr>
        <w:t>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克孜勒苏柯尔克孜自治州工业和信息化局2021年</w:t>
      </w:r>
      <w:r>
        <w:rPr>
          <w:rFonts w:hint="eastAsia" w:ascii="仿宋_GB2312" w:hAnsi="宋体" w:eastAsia="仿宋_GB2312"/>
          <w:kern w:val="0"/>
          <w:sz w:val="32"/>
          <w:szCs w:val="32"/>
        </w:rPr>
        <w:t>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克孜勒苏柯尔克孜自治州工业和信息化局</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自治州工业和信息化局贯彻落实自治区工业和信息化的法律和方针决策，提出自治州工业和信息化发展规划和政策建议；拟定工业和信息化发展的综合性法规、规章、政策，并组织实施和监督检查；推进信息化和工业化融合。拟定工业和信息化发展规划；根据国家和自治区产业政策，拟定自治州产业政策，并组织实施和监督检查；指导产业合理布局和结构调整；组织协调重点产业调整和高质量规划的拟定和实施等等。</w:t>
      </w:r>
    </w:p>
    <w:p>
      <w:pPr>
        <w:widowControl/>
        <w:spacing w:line="560" w:lineRule="exact"/>
        <w:jc w:val="left"/>
        <w:rPr>
          <w:rFonts w:hint="eastAsia" w:ascii="仿宋_GB2312" w:hAnsi="黑体" w:eastAsia="仿宋_GB2312" w:cs="宋体"/>
          <w:bCs/>
          <w:kern w:val="0"/>
          <w:sz w:val="32"/>
          <w:szCs w:val="32"/>
          <w:lang w:eastAsia="zh-CN"/>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克孜勒苏柯尔克孜自治州工业和信息化局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9</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黑体" w:eastAsia="仿宋_GB2312" w:cs="宋体"/>
          <w:bCs/>
          <w:kern w:val="0"/>
          <w:sz w:val="32"/>
          <w:szCs w:val="32"/>
          <w:lang w:eastAsia="zh-CN"/>
        </w:rPr>
        <w:t>办公室、综合科、经济运行科、投资规划科、企业科、经济协作科、环境和资源综合利用科、信息化办公室、行业管理科</w:t>
      </w:r>
      <w:r>
        <w:rPr>
          <w:rFonts w:hint="eastAsia" w:ascii="仿宋_GB2312" w:hAnsi="宋体" w:eastAsia="仿宋_GB2312" w:cs="宋体"/>
          <w:kern w:val="0"/>
          <w:sz w:val="32"/>
          <w:szCs w:val="32"/>
        </w:rPr>
        <w:t>。</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克孜勒苏柯尔克孜自治州工业和信息化局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29人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69</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38</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eastAsia="zh-CN"/>
        </w:rPr>
        <w:t>2021年克孜勒苏柯尔克孜自治州工业和信息化局</w:t>
      </w:r>
      <w:r>
        <w:rPr>
          <w:rFonts w:hint="eastAsia" w:ascii="黑体" w:hAnsi="黑体" w:eastAsia="黑体"/>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克孜勒苏柯尔克孜自治州工业和信息化局</w:t>
      </w:r>
      <w:r>
        <w:rPr>
          <w:rFonts w:hint="eastAsia" w:ascii="仿宋_GB2312" w:hAnsi="宋体" w:eastAsia="仿宋_GB2312"/>
          <w:b/>
          <w:kern w:val="0"/>
          <w:sz w:val="32"/>
          <w:szCs w:val="32"/>
        </w:rPr>
        <w:t>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lang w:eastAsia="zh-CN"/>
        </w:rPr>
        <w:t>编制部门（单位）：克孜勒苏柯尔克孜自治州工业和信息化局</w:t>
      </w:r>
      <w:r>
        <w:rPr>
          <w:rFonts w:hint="eastAsia" w:ascii="仿宋_GB2312" w:hAnsi="宋体" w:eastAsia="仿宋_GB2312"/>
          <w:kern w:val="0"/>
          <w:sz w:val="24"/>
        </w:rPr>
        <w:t xml:space="preserve">      单位：万元</w:t>
      </w:r>
    </w:p>
    <w:tbl>
      <w:tblPr>
        <w:tblStyle w:val="3"/>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537.62</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552.02</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537.62</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180" w:firstLineChars="100"/>
              <w:jc w:val="left"/>
              <w:rPr>
                <w:rFonts w:ascii="仿宋_GB2312" w:hAnsi="宋体" w:eastAsia="仿宋_GB2312" w:cs="宋体"/>
                <w:kern w:val="0"/>
                <w:sz w:val="18"/>
                <w:szCs w:val="18"/>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2.60</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17.00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554.62</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554.62</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lang w:eastAsia="zh-CN"/>
        </w:rPr>
        <w:t>克孜勒苏柯尔克孜自治州工业和信息化局</w:t>
      </w:r>
      <w:r>
        <w:rPr>
          <w:rFonts w:hint="eastAsia" w:ascii="仿宋_GB2312" w:hAnsi="宋体" w:eastAsia="仿宋_GB2312"/>
          <w:b/>
          <w:kern w:val="0"/>
          <w:sz w:val="32"/>
          <w:szCs w:val="32"/>
        </w:rPr>
        <w:t>收入总体情况表</w:t>
      </w:r>
    </w:p>
    <w:p>
      <w:pPr>
        <w:widowControl/>
        <w:jc w:val="center"/>
        <w:outlineLvl w:val="1"/>
        <w:rPr>
          <w:rFonts w:ascii="仿宋_GB2312" w:hAnsi="宋体" w:eastAsia="仿宋_GB2312"/>
          <w:kern w:val="0"/>
          <w:sz w:val="24"/>
        </w:rPr>
      </w:pPr>
      <w:r>
        <w:rPr>
          <w:rFonts w:hint="eastAsia" w:ascii="仿宋_GB2312" w:hAnsi="宋体" w:eastAsia="仿宋_GB2312"/>
          <w:kern w:val="0"/>
          <w:sz w:val="24"/>
          <w:lang w:eastAsia="zh-CN"/>
        </w:rPr>
        <w:t>编制部门（单位）：克孜勒苏柯尔克孜自治州工业和信息化局</w:t>
      </w:r>
      <w:r>
        <w:rPr>
          <w:rFonts w:hint="eastAsia" w:ascii="仿宋_GB2312" w:hAnsi="宋体" w:eastAsia="仿宋_GB2312"/>
          <w:kern w:val="0"/>
          <w:sz w:val="24"/>
        </w:rPr>
        <w:t xml:space="preserve">     单位：万元</w:t>
      </w:r>
    </w:p>
    <w:tbl>
      <w:tblPr>
        <w:tblStyle w:val="3"/>
        <w:tblW w:w="10455"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55"/>
        <w:gridCol w:w="720"/>
        <w:gridCol w:w="1365"/>
        <w:gridCol w:w="1110"/>
        <w:gridCol w:w="825"/>
        <w:gridCol w:w="585"/>
        <w:gridCol w:w="480"/>
        <w:gridCol w:w="720"/>
        <w:gridCol w:w="615"/>
        <w:gridCol w:w="480"/>
        <w:gridCol w:w="525"/>
        <w:gridCol w:w="6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25" w:type="dxa"/>
            <w:gridSpan w:val="3"/>
            <w:tcBorders>
              <w:tl2br w:val="nil"/>
              <w:tr2bl w:val="nil"/>
            </w:tcBorders>
            <w:vAlign w:val="center"/>
          </w:tcPr>
          <w:p>
            <w:pPr>
              <w:jc w:val="both"/>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功能分类科目编码</w:t>
            </w:r>
          </w:p>
        </w:tc>
        <w:tc>
          <w:tcPr>
            <w:tcW w:w="1365" w:type="dxa"/>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功能分类科目名称</w:t>
            </w:r>
          </w:p>
        </w:tc>
        <w:tc>
          <w:tcPr>
            <w:tcW w:w="1110" w:type="dxa"/>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总计</w:t>
            </w:r>
          </w:p>
        </w:tc>
        <w:tc>
          <w:tcPr>
            <w:tcW w:w="825" w:type="dxa"/>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一般公共预算拨款</w:t>
            </w:r>
          </w:p>
        </w:tc>
        <w:tc>
          <w:tcPr>
            <w:tcW w:w="585" w:type="dxa"/>
            <w:vMerge w:val="restart"/>
            <w:tcBorders>
              <w:tl2br w:val="nil"/>
              <w:tr2bl w:val="nil"/>
            </w:tcBorders>
            <w:vAlign w:val="center"/>
          </w:tcPr>
          <w:p>
            <w:pPr>
              <w:keepNext w:val="0"/>
              <w:keepLines w:val="0"/>
              <w:widowControl/>
              <w:suppressLineNumbers w:val="0"/>
              <w:jc w:val="center"/>
              <w:textAlignment w:val="center"/>
              <w:rPr>
                <w:rFonts w:hint="eastAsia"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政府性基金预算拨款</w:t>
            </w:r>
          </w:p>
        </w:tc>
        <w:tc>
          <w:tcPr>
            <w:tcW w:w="480" w:type="dxa"/>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国有资本经营预算</w:t>
            </w:r>
          </w:p>
        </w:tc>
        <w:tc>
          <w:tcPr>
            <w:tcW w:w="720" w:type="dxa"/>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教育收费（财政专户）</w:t>
            </w:r>
          </w:p>
        </w:tc>
        <w:tc>
          <w:tcPr>
            <w:tcW w:w="615" w:type="dxa"/>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事业收入</w:t>
            </w:r>
          </w:p>
        </w:tc>
        <w:tc>
          <w:tcPr>
            <w:tcW w:w="480" w:type="dxa"/>
            <w:vMerge w:val="restart"/>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上级补助收入</w:t>
            </w:r>
          </w:p>
        </w:tc>
        <w:tc>
          <w:tcPr>
            <w:tcW w:w="525" w:type="dxa"/>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事业单位经营收入</w:t>
            </w:r>
          </w:p>
        </w:tc>
        <w:tc>
          <w:tcPr>
            <w:tcW w:w="690" w:type="dxa"/>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单位其他资金收入</w:t>
            </w:r>
          </w:p>
        </w:tc>
        <w:tc>
          <w:tcPr>
            <w:tcW w:w="735" w:type="dxa"/>
            <w:vMerge w:val="restart"/>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上级专项收入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lef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类</w:t>
            </w:r>
          </w:p>
        </w:tc>
        <w:tc>
          <w:tcPr>
            <w:tcW w:w="855" w:type="dxa"/>
            <w:tcBorders>
              <w:tl2br w:val="nil"/>
              <w:tr2bl w:val="nil"/>
            </w:tcBorders>
            <w:vAlign w:val="center"/>
          </w:tcPr>
          <w:p>
            <w:pPr>
              <w:keepNext w:val="0"/>
              <w:keepLines w:val="0"/>
              <w:widowControl/>
              <w:suppressLineNumbers w:val="0"/>
              <w:jc w:val="left"/>
              <w:textAlignment w:val="center"/>
              <w:rPr>
                <w:rFonts w:hint="eastAsia" w:ascii="仿宋_GB2312" w:hAnsi="宋体" w:eastAsia="仿宋_GB2312" w:cs="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款</w:t>
            </w:r>
          </w:p>
        </w:tc>
        <w:tc>
          <w:tcPr>
            <w:tcW w:w="720" w:type="dxa"/>
            <w:tcBorders>
              <w:tl2br w:val="nil"/>
              <w:tr2bl w:val="nil"/>
            </w:tcBorders>
            <w:vAlign w:val="center"/>
          </w:tcPr>
          <w:p>
            <w:pPr>
              <w:keepNext w:val="0"/>
              <w:keepLines w:val="0"/>
              <w:widowControl/>
              <w:suppressLineNumbers w:val="0"/>
              <w:jc w:val="lef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365" w:type="dxa"/>
            <w:vMerge w:val="continue"/>
            <w:tcBorders>
              <w:tl2br w:val="nil"/>
              <w:tr2bl w:val="nil"/>
            </w:tcBorders>
            <w:vAlign w:val="center"/>
          </w:tcPr>
          <w:p>
            <w:pPr>
              <w:jc w:val="center"/>
              <w:rPr>
                <w:rFonts w:ascii="仿宋_GB2312" w:hAnsi="宋体" w:eastAsia="仿宋_GB2312" w:cs="宋体"/>
                <w:color w:val="000000"/>
                <w:sz w:val="20"/>
                <w:szCs w:val="20"/>
              </w:rPr>
            </w:pPr>
          </w:p>
        </w:tc>
        <w:tc>
          <w:tcPr>
            <w:tcW w:w="1110" w:type="dxa"/>
            <w:vMerge w:val="continue"/>
            <w:tcBorders>
              <w:tl2br w:val="nil"/>
              <w:tr2bl w:val="nil"/>
            </w:tcBorders>
            <w:vAlign w:val="center"/>
          </w:tcPr>
          <w:p>
            <w:pPr>
              <w:jc w:val="center"/>
              <w:rPr>
                <w:rFonts w:ascii="仿宋_GB2312" w:hAnsi="宋体" w:eastAsia="仿宋_GB2312" w:cs="宋体"/>
                <w:color w:val="000000"/>
                <w:sz w:val="20"/>
                <w:szCs w:val="20"/>
              </w:rPr>
            </w:pPr>
          </w:p>
        </w:tc>
        <w:tc>
          <w:tcPr>
            <w:tcW w:w="825" w:type="dxa"/>
            <w:vMerge w:val="continue"/>
            <w:tcBorders>
              <w:tl2br w:val="nil"/>
              <w:tr2bl w:val="nil"/>
            </w:tcBorders>
            <w:vAlign w:val="center"/>
          </w:tcPr>
          <w:p>
            <w:pPr>
              <w:jc w:val="center"/>
              <w:rPr>
                <w:rFonts w:ascii="仿宋_GB2312" w:hAnsi="宋体" w:eastAsia="仿宋_GB2312" w:cs="宋体"/>
                <w:color w:val="000000"/>
                <w:sz w:val="20"/>
                <w:szCs w:val="20"/>
              </w:rPr>
            </w:pPr>
          </w:p>
        </w:tc>
        <w:tc>
          <w:tcPr>
            <w:tcW w:w="585" w:type="dxa"/>
            <w:vMerge w:val="continue"/>
            <w:tcBorders>
              <w:tl2br w:val="nil"/>
              <w:tr2bl w:val="nil"/>
            </w:tcBorders>
            <w:vAlign w:val="center"/>
          </w:tcPr>
          <w:p>
            <w:pPr>
              <w:jc w:val="center"/>
              <w:rPr>
                <w:rFonts w:hint="eastAsia" w:ascii="仿宋_GB2312" w:eastAsia="仿宋_GB2312"/>
                <w:color w:val="000000"/>
                <w:sz w:val="20"/>
                <w:szCs w:val="20"/>
              </w:rPr>
            </w:pPr>
          </w:p>
        </w:tc>
        <w:tc>
          <w:tcPr>
            <w:tcW w:w="480" w:type="dxa"/>
            <w:vMerge w:val="continue"/>
            <w:tcBorders>
              <w:tl2br w:val="nil"/>
              <w:tr2bl w:val="nil"/>
            </w:tcBorders>
            <w:vAlign w:val="center"/>
          </w:tcPr>
          <w:p>
            <w:pPr>
              <w:jc w:val="center"/>
              <w:rPr>
                <w:rFonts w:ascii="仿宋_GB2312" w:hAnsi="宋体" w:eastAsia="仿宋_GB2312" w:cs="宋体"/>
                <w:color w:val="000000"/>
                <w:sz w:val="20"/>
                <w:szCs w:val="20"/>
              </w:rPr>
            </w:pPr>
          </w:p>
        </w:tc>
        <w:tc>
          <w:tcPr>
            <w:tcW w:w="720" w:type="dxa"/>
            <w:vMerge w:val="continue"/>
            <w:tcBorders>
              <w:tl2br w:val="nil"/>
              <w:tr2bl w:val="nil"/>
            </w:tcBorders>
            <w:vAlign w:val="center"/>
          </w:tcPr>
          <w:p>
            <w:pPr>
              <w:jc w:val="center"/>
              <w:rPr>
                <w:rFonts w:ascii="仿宋_GB2312" w:eastAsia="仿宋_GB2312"/>
                <w:color w:val="000000"/>
                <w:sz w:val="20"/>
                <w:szCs w:val="20"/>
              </w:rPr>
            </w:pPr>
          </w:p>
        </w:tc>
        <w:tc>
          <w:tcPr>
            <w:tcW w:w="615" w:type="dxa"/>
            <w:vMerge w:val="continue"/>
            <w:tcBorders>
              <w:tl2br w:val="nil"/>
              <w:tr2bl w:val="nil"/>
            </w:tcBorders>
            <w:vAlign w:val="center"/>
          </w:tcPr>
          <w:p>
            <w:pPr>
              <w:jc w:val="center"/>
              <w:rPr>
                <w:rFonts w:ascii="仿宋_GB2312" w:hAnsi="宋体" w:eastAsia="仿宋_GB2312" w:cs="宋体"/>
                <w:color w:val="000000"/>
                <w:sz w:val="20"/>
                <w:szCs w:val="20"/>
              </w:rPr>
            </w:pPr>
          </w:p>
        </w:tc>
        <w:tc>
          <w:tcPr>
            <w:tcW w:w="480" w:type="dxa"/>
            <w:vMerge w:val="continue"/>
            <w:tcBorders>
              <w:tl2br w:val="nil"/>
              <w:tr2bl w:val="nil"/>
            </w:tcBorders>
            <w:vAlign w:val="center"/>
          </w:tcPr>
          <w:p>
            <w:pPr>
              <w:jc w:val="center"/>
              <w:rPr>
                <w:rFonts w:ascii="仿宋_GB2312" w:hAnsi="宋体" w:eastAsia="仿宋_GB2312" w:cs="宋体"/>
                <w:color w:val="000000"/>
                <w:sz w:val="20"/>
                <w:szCs w:val="20"/>
              </w:rPr>
            </w:pPr>
          </w:p>
        </w:tc>
        <w:tc>
          <w:tcPr>
            <w:tcW w:w="525" w:type="dxa"/>
            <w:vMerge w:val="continue"/>
            <w:tcBorders>
              <w:tl2br w:val="nil"/>
              <w:tr2bl w:val="nil"/>
            </w:tcBorders>
            <w:vAlign w:val="center"/>
          </w:tcPr>
          <w:p>
            <w:pPr>
              <w:jc w:val="center"/>
              <w:rPr>
                <w:rFonts w:ascii="仿宋_GB2312" w:eastAsia="仿宋_GB2312"/>
                <w:color w:val="000000"/>
                <w:sz w:val="20"/>
                <w:szCs w:val="20"/>
              </w:rPr>
            </w:pPr>
          </w:p>
        </w:tc>
        <w:tc>
          <w:tcPr>
            <w:tcW w:w="690" w:type="dxa"/>
            <w:vMerge w:val="continue"/>
            <w:tcBorders>
              <w:tl2br w:val="nil"/>
              <w:tr2bl w:val="nil"/>
            </w:tcBorders>
            <w:vAlign w:val="center"/>
          </w:tcPr>
          <w:p>
            <w:pPr>
              <w:jc w:val="center"/>
              <w:rPr>
                <w:rFonts w:ascii="仿宋_GB2312" w:eastAsia="仿宋_GB2312"/>
                <w:color w:val="000000"/>
                <w:sz w:val="20"/>
                <w:szCs w:val="20"/>
              </w:rPr>
            </w:pPr>
          </w:p>
        </w:tc>
        <w:tc>
          <w:tcPr>
            <w:tcW w:w="735" w:type="dxa"/>
            <w:vMerge w:val="continue"/>
            <w:tcBorders>
              <w:tl2br w:val="nil"/>
              <w:tr2bl w:val="nil"/>
            </w:tcBorders>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left"/>
              <w:textAlignment w:val="center"/>
              <w:rPr>
                <w:rFonts w:ascii="仿宋_GB2312" w:hAnsi="宋体" w:eastAsia="仿宋_GB2312" w:cs="宋体"/>
                <w:color w:val="000000"/>
                <w:sz w:val="20"/>
                <w:szCs w:val="20"/>
              </w:rPr>
            </w:pPr>
          </w:p>
        </w:tc>
        <w:tc>
          <w:tcPr>
            <w:tcW w:w="855" w:type="dxa"/>
            <w:tcBorders>
              <w:tl2br w:val="nil"/>
              <w:tr2bl w:val="nil"/>
            </w:tcBorders>
            <w:vAlign w:val="center"/>
          </w:tcPr>
          <w:p>
            <w:pPr>
              <w:keepNext w:val="0"/>
              <w:keepLines w:val="0"/>
              <w:widowControl/>
              <w:suppressLineNumbers w:val="0"/>
              <w:jc w:val="left"/>
              <w:textAlignment w:val="center"/>
              <w:rPr>
                <w:rFonts w:ascii="仿宋_GB2312" w:hAnsi="宋体" w:eastAsia="仿宋_GB2312" w:cs="宋体"/>
                <w:color w:val="000000"/>
                <w:sz w:val="20"/>
                <w:szCs w:val="20"/>
              </w:rPr>
            </w:pPr>
          </w:p>
        </w:tc>
        <w:tc>
          <w:tcPr>
            <w:tcW w:w="720" w:type="dxa"/>
            <w:tcBorders>
              <w:tl2br w:val="nil"/>
              <w:tr2bl w:val="nil"/>
            </w:tcBorders>
            <w:vAlign w:val="center"/>
          </w:tcPr>
          <w:p>
            <w:pPr>
              <w:keepNext w:val="0"/>
              <w:keepLines w:val="0"/>
              <w:widowControl/>
              <w:suppressLineNumbers w:val="0"/>
              <w:jc w:val="left"/>
              <w:textAlignment w:val="center"/>
              <w:rPr>
                <w:rFonts w:ascii="仿宋_GB2312" w:hAnsi="宋体" w:eastAsia="仿宋_GB2312" w:cs="宋体"/>
                <w:color w:val="000000"/>
                <w:sz w:val="20"/>
                <w:szCs w:val="20"/>
              </w:rPr>
            </w:pPr>
          </w:p>
        </w:tc>
        <w:tc>
          <w:tcPr>
            <w:tcW w:w="1365" w:type="dxa"/>
            <w:tcBorders>
              <w:tl2br w:val="nil"/>
              <w:tr2bl w:val="nil"/>
            </w:tcBorders>
            <w:vAlign w:val="center"/>
          </w:tcPr>
          <w:p>
            <w:pPr>
              <w:keepNext w:val="0"/>
              <w:keepLines w:val="0"/>
              <w:widowControl/>
              <w:suppressLineNumbers w:val="0"/>
              <w:jc w:val="left"/>
              <w:textAlignment w:val="center"/>
              <w:rPr>
                <w:rFonts w:ascii="仿宋_GB2312" w:hAnsi="宋体" w:eastAsia="仿宋_GB2312" w:cs="宋体"/>
                <w:color w:val="000000"/>
                <w:sz w:val="20"/>
                <w:szCs w:val="20"/>
              </w:rPr>
            </w:pPr>
          </w:p>
        </w:tc>
        <w:tc>
          <w:tcPr>
            <w:tcW w:w="111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l2br w:val="nil"/>
              <w:tr2bl w:val="nil"/>
            </w:tcBorders>
            <w:vAlign w:val="center"/>
          </w:tcPr>
          <w:p>
            <w:pPr>
              <w:keepNext w:val="0"/>
              <w:keepLines w:val="0"/>
              <w:widowControl/>
              <w:suppressLineNumbers w:val="0"/>
              <w:jc w:val="center"/>
              <w:textAlignment w:val="center"/>
              <w:rPr>
                <w:rFonts w:hint="eastAsia"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3</w:t>
            </w:r>
          </w:p>
        </w:tc>
        <w:tc>
          <w:tcPr>
            <w:tcW w:w="48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4</w:t>
            </w:r>
          </w:p>
        </w:tc>
        <w:tc>
          <w:tcPr>
            <w:tcW w:w="720" w:type="dxa"/>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5</w:t>
            </w:r>
          </w:p>
        </w:tc>
        <w:tc>
          <w:tcPr>
            <w:tcW w:w="61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6</w:t>
            </w:r>
          </w:p>
        </w:tc>
        <w:tc>
          <w:tcPr>
            <w:tcW w:w="48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7</w:t>
            </w:r>
          </w:p>
        </w:tc>
        <w:tc>
          <w:tcPr>
            <w:tcW w:w="525" w:type="dxa"/>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8</w:t>
            </w:r>
          </w:p>
        </w:tc>
        <w:tc>
          <w:tcPr>
            <w:tcW w:w="690" w:type="dxa"/>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9</w:t>
            </w:r>
          </w:p>
        </w:tc>
        <w:tc>
          <w:tcPr>
            <w:tcW w:w="735" w:type="dxa"/>
            <w:tcBorders>
              <w:tl2br w:val="nil"/>
              <w:tr2bl w:val="nil"/>
            </w:tcBorders>
            <w:vAlign w:val="center"/>
          </w:tcPr>
          <w:p>
            <w:pPr>
              <w:keepNext w:val="0"/>
              <w:keepLines w:val="0"/>
              <w:widowControl/>
              <w:suppressLineNumbers w:val="0"/>
              <w:jc w:val="center"/>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201</w:t>
            </w:r>
          </w:p>
        </w:tc>
        <w:tc>
          <w:tcPr>
            <w:tcW w:w="855" w:type="dxa"/>
            <w:tcBorders>
              <w:tl2br w:val="nil"/>
              <w:tr2bl w:val="nil"/>
            </w:tcBorders>
            <w:vAlign w:val="center"/>
          </w:tcPr>
          <w:p>
            <w:pPr>
              <w:jc w:val="center"/>
              <w:rPr>
                <w:rFonts w:ascii="仿宋_GB2312" w:hAnsi="宋体" w:eastAsia="仿宋_GB2312" w:cs="宋体"/>
                <w:color w:val="000000"/>
                <w:sz w:val="20"/>
                <w:szCs w:val="20"/>
              </w:rPr>
            </w:pPr>
          </w:p>
        </w:tc>
        <w:tc>
          <w:tcPr>
            <w:tcW w:w="720" w:type="dxa"/>
            <w:tcBorders>
              <w:tl2br w:val="nil"/>
              <w:tr2bl w:val="nil"/>
            </w:tcBorders>
            <w:vAlign w:val="center"/>
          </w:tcPr>
          <w:p>
            <w:pPr>
              <w:jc w:val="center"/>
              <w:rPr>
                <w:rFonts w:ascii="仿宋_GB2312" w:hAnsi="宋体" w:eastAsia="仿宋_GB2312" w:cs="宋体"/>
                <w:color w:val="000000"/>
                <w:sz w:val="20"/>
                <w:szCs w:val="20"/>
              </w:rPr>
            </w:pP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一般公共服务支出</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552.02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535.02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17.00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201</w:t>
            </w:r>
          </w:p>
        </w:tc>
        <w:tc>
          <w:tcPr>
            <w:tcW w:w="85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720" w:type="dxa"/>
            <w:tcBorders>
              <w:tl2br w:val="nil"/>
              <w:tr2bl w:val="nil"/>
            </w:tcBorders>
            <w:vAlign w:val="center"/>
          </w:tcPr>
          <w:p>
            <w:pPr>
              <w:jc w:val="center"/>
              <w:rPr>
                <w:rFonts w:ascii="仿宋_GB2312" w:hAnsi="宋体" w:eastAsia="仿宋_GB2312" w:cs="宋体"/>
                <w:color w:val="000000"/>
                <w:sz w:val="20"/>
                <w:szCs w:val="20"/>
              </w:rPr>
            </w:pP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商贸事务</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552.02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535.02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17.00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201</w:t>
            </w:r>
          </w:p>
        </w:tc>
        <w:tc>
          <w:tcPr>
            <w:tcW w:w="85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13</w:t>
            </w:r>
          </w:p>
        </w:tc>
        <w:tc>
          <w:tcPr>
            <w:tcW w:w="72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99</w:t>
            </w: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其他商贸事务支出</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27.00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10.00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17.00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201</w:t>
            </w:r>
          </w:p>
        </w:tc>
        <w:tc>
          <w:tcPr>
            <w:tcW w:w="85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13</w:t>
            </w:r>
          </w:p>
        </w:tc>
        <w:tc>
          <w:tcPr>
            <w:tcW w:w="72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01</w:t>
            </w: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行政运行（商贸事务）</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525.02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525.02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205</w:t>
            </w:r>
          </w:p>
        </w:tc>
        <w:tc>
          <w:tcPr>
            <w:tcW w:w="855" w:type="dxa"/>
            <w:tcBorders>
              <w:tl2br w:val="nil"/>
              <w:tr2bl w:val="nil"/>
            </w:tcBorders>
            <w:vAlign w:val="center"/>
          </w:tcPr>
          <w:p>
            <w:pPr>
              <w:jc w:val="center"/>
              <w:rPr>
                <w:rFonts w:ascii="仿宋_GB2312" w:hAnsi="宋体" w:eastAsia="仿宋_GB2312" w:cs="宋体"/>
                <w:color w:val="000000"/>
                <w:sz w:val="20"/>
                <w:szCs w:val="20"/>
              </w:rPr>
            </w:pPr>
          </w:p>
        </w:tc>
        <w:tc>
          <w:tcPr>
            <w:tcW w:w="720" w:type="dxa"/>
            <w:tcBorders>
              <w:tl2br w:val="nil"/>
              <w:tr2bl w:val="nil"/>
            </w:tcBorders>
            <w:vAlign w:val="center"/>
          </w:tcPr>
          <w:p>
            <w:pPr>
              <w:jc w:val="center"/>
              <w:rPr>
                <w:rFonts w:ascii="仿宋_GB2312" w:hAnsi="宋体" w:eastAsia="仿宋_GB2312" w:cs="宋体"/>
                <w:color w:val="000000"/>
                <w:sz w:val="20"/>
                <w:szCs w:val="20"/>
              </w:rPr>
            </w:pP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教育支出</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2.60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2.60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205</w:t>
            </w:r>
          </w:p>
        </w:tc>
        <w:tc>
          <w:tcPr>
            <w:tcW w:w="85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02</w:t>
            </w:r>
          </w:p>
        </w:tc>
        <w:tc>
          <w:tcPr>
            <w:tcW w:w="720" w:type="dxa"/>
            <w:tcBorders>
              <w:tl2br w:val="nil"/>
              <w:tr2bl w:val="nil"/>
            </w:tcBorders>
            <w:vAlign w:val="center"/>
          </w:tcPr>
          <w:p>
            <w:pPr>
              <w:jc w:val="center"/>
              <w:rPr>
                <w:rFonts w:ascii="仿宋_GB2312" w:hAnsi="宋体" w:eastAsia="仿宋_GB2312" w:cs="宋体"/>
                <w:color w:val="000000"/>
                <w:sz w:val="20"/>
                <w:szCs w:val="20"/>
              </w:rPr>
            </w:pP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普通教育</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2.60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2.60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5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205</w:t>
            </w:r>
          </w:p>
        </w:tc>
        <w:tc>
          <w:tcPr>
            <w:tcW w:w="85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02</w:t>
            </w:r>
          </w:p>
        </w:tc>
        <w:tc>
          <w:tcPr>
            <w:tcW w:w="720"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01</w:t>
            </w: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2.60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2.60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l2br w:val="nil"/>
              <w:tr2bl w:val="nil"/>
            </w:tcBorders>
            <w:vAlign w:val="center"/>
          </w:tcPr>
          <w:p>
            <w:pPr>
              <w:jc w:val="center"/>
              <w:rPr>
                <w:rFonts w:ascii="仿宋_GB2312" w:hAnsi="宋体" w:eastAsia="仿宋_GB2312" w:cs="宋体"/>
                <w:color w:val="000000"/>
                <w:sz w:val="20"/>
                <w:szCs w:val="20"/>
              </w:rPr>
            </w:pPr>
          </w:p>
        </w:tc>
        <w:tc>
          <w:tcPr>
            <w:tcW w:w="855" w:type="dxa"/>
            <w:tcBorders>
              <w:tl2br w:val="nil"/>
              <w:tr2bl w:val="nil"/>
            </w:tcBorders>
            <w:vAlign w:val="center"/>
          </w:tcPr>
          <w:p>
            <w:pPr>
              <w:jc w:val="center"/>
              <w:rPr>
                <w:rFonts w:ascii="仿宋_GB2312" w:hAnsi="宋体" w:eastAsia="仿宋_GB2312" w:cs="宋体"/>
                <w:color w:val="000000"/>
                <w:sz w:val="20"/>
                <w:szCs w:val="20"/>
              </w:rPr>
            </w:pPr>
          </w:p>
        </w:tc>
        <w:tc>
          <w:tcPr>
            <w:tcW w:w="720" w:type="dxa"/>
            <w:tcBorders>
              <w:tl2br w:val="nil"/>
              <w:tr2bl w:val="nil"/>
            </w:tcBorders>
            <w:vAlign w:val="center"/>
          </w:tcPr>
          <w:p>
            <w:pPr>
              <w:jc w:val="center"/>
              <w:rPr>
                <w:rFonts w:ascii="仿宋_GB2312" w:hAnsi="宋体" w:eastAsia="仿宋_GB2312" w:cs="宋体"/>
                <w:color w:val="000000"/>
                <w:sz w:val="20"/>
                <w:szCs w:val="20"/>
              </w:rPr>
            </w:pPr>
          </w:p>
        </w:tc>
        <w:tc>
          <w:tcPr>
            <w:tcW w:w="1365" w:type="dxa"/>
            <w:tcBorders>
              <w:tl2br w:val="nil"/>
              <w:tr2bl w:val="nil"/>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合计</w:t>
            </w:r>
          </w:p>
        </w:tc>
        <w:tc>
          <w:tcPr>
            <w:tcW w:w="1110"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554.62 </w:t>
            </w:r>
          </w:p>
        </w:tc>
        <w:tc>
          <w:tcPr>
            <w:tcW w:w="825" w:type="dxa"/>
            <w:tcBorders>
              <w:tl2br w:val="nil"/>
              <w:tr2bl w:val="nil"/>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537.62 </w:t>
            </w:r>
          </w:p>
        </w:tc>
        <w:tc>
          <w:tcPr>
            <w:tcW w:w="585" w:type="dxa"/>
            <w:tcBorders>
              <w:tl2br w:val="nil"/>
              <w:tr2bl w:val="nil"/>
            </w:tcBorders>
            <w:vAlign w:val="center"/>
          </w:tcPr>
          <w:p>
            <w:pPr>
              <w:jc w:val="right"/>
              <w:rPr>
                <w:rFonts w:hint="eastAsia" w:ascii="仿宋_GB2312" w:eastAsia="仿宋_GB2312"/>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720" w:type="dxa"/>
            <w:tcBorders>
              <w:tl2br w:val="nil"/>
              <w:tr2bl w:val="nil"/>
            </w:tcBorders>
            <w:vAlign w:val="center"/>
          </w:tcPr>
          <w:p>
            <w:pPr>
              <w:jc w:val="right"/>
              <w:rPr>
                <w:rFonts w:ascii="仿宋_GB2312" w:eastAsia="仿宋_GB2312"/>
                <w:color w:val="000000"/>
                <w:sz w:val="20"/>
                <w:szCs w:val="20"/>
              </w:rPr>
            </w:pPr>
          </w:p>
        </w:tc>
        <w:tc>
          <w:tcPr>
            <w:tcW w:w="615" w:type="dxa"/>
            <w:tcBorders>
              <w:tl2br w:val="nil"/>
              <w:tr2bl w:val="nil"/>
            </w:tcBorders>
            <w:vAlign w:val="center"/>
          </w:tcPr>
          <w:p>
            <w:pPr>
              <w:jc w:val="right"/>
              <w:rPr>
                <w:rFonts w:ascii="仿宋_GB2312" w:hAnsi="宋体" w:eastAsia="仿宋_GB2312" w:cs="宋体"/>
                <w:color w:val="000000"/>
                <w:sz w:val="20"/>
                <w:szCs w:val="20"/>
              </w:rPr>
            </w:pPr>
          </w:p>
        </w:tc>
        <w:tc>
          <w:tcPr>
            <w:tcW w:w="480" w:type="dxa"/>
            <w:tcBorders>
              <w:tl2br w:val="nil"/>
              <w:tr2bl w:val="nil"/>
            </w:tcBorders>
            <w:vAlign w:val="center"/>
          </w:tcPr>
          <w:p>
            <w:pPr>
              <w:jc w:val="right"/>
              <w:rPr>
                <w:rFonts w:ascii="仿宋_GB2312" w:hAnsi="宋体" w:eastAsia="仿宋_GB2312" w:cs="宋体"/>
                <w:color w:val="000000"/>
                <w:sz w:val="20"/>
                <w:szCs w:val="20"/>
              </w:rPr>
            </w:pPr>
          </w:p>
        </w:tc>
        <w:tc>
          <w:tcPr>
            <w:tcW w:w="525" w:type="dxa"/>
            <w:tcBorders>
              <w:tl2br w:val="nil"/>
              <w:tr2bl w:val="nil"/>
            </w:tcBorders>
            <w:vAlign w:val="center"/>
          </w:tcPr>
          <w:p>
            <w:pPr>
              <w:rPr>
                <w:rFonts w:ascii="仿宋_GB2312" w:eastAsia="仿宋_GB2312"/>
                <w:color w:val="000000"/>
                <w:sz w:val="20"/>
                <w:szCs w:val="20"/>
              </w:rPr>
            </w:pPr>
          </w:p>
        </w:tc>
        <w:tc>
          <w:tcPr>
            <w:tcW w:w="690" w:type="dxa"/>
            <w:tcBorders>
              <w:tl2br w:val="nil"/>
              <w:tr2bl w:val="nil"/>
            </w:tcBorders>
            <w:vAlign w:val="center"/>
          </w:tcPr>
          <w:p>
            <w:pPr>
              <w:rPr>
                <w:rFonts w:ascii="仿宋_GB2312" w:eastAsia="仿宋_GB2312"/>
                <w:color w:val="000000"/>
                <w:sz w:val="20"/>
                <w:szCs w:val="20"/>
              </w:rPr>
            </w:pPr>
          </w:p>
        </w:tc>
        <w:tc>
          <w:tcPr>
            <w:tcW w:w="735" w:type="dxa"/>
            <w:tcBorders>
              <w:tl2br w:val="nil"/>
              <w:tr2bl w:val="nil"/>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iCs w:val="0"/>
                <w:color w:val="000000"/>
                <w:kern w:val="0"/>
                <w:sz w:val="20"/>
                <w:szCs w:val="20"/>
                <w:u w:val="none"/>
                <w:lang w:val="en-US" w:eastAsia="zh-CN" w:bidi="ar"/>
              </w:rPr>
              <w:t xml:space="preserve">17.00 </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克孜勒苏柯尔克孜自治州工业和信息化局</w:t>
      </w:r>
      <w:r>
        <w:rPr>
          <w:rFonts w:hint="eastAsia" w:ascii="仿宋_GB2312" w:hAnsi="宋体" w:eastAsia="仿宋_GB2312"/>
          <w:b/>
          <w:kern w:val="0"/>
          <w:sz w:val="32"/>
          <w:szCs w:val="32"/>
        </w:rPr>
        <w:t>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lang w:eastAsia="zh-CN"/>
        </w:rPr>
        <w:t>编制部门（单位）：克孜勒苏柯尔克孜自治州工业和信息化局</w:t>
      </w:r>
      <w:r>
        <w:rPr>
          <w:rFonts w:hint="eastAsia" w:ascii="仿宋_GB2312" w:hAnsi="宋体" w:eastAsia="仿宋_GB2312"/>
          <w:kern w:val="0"/>
          <w:sz w:val="24"/>
        </w:rPr>
        <w:t xml:space="preserve">                                  单位：万元</w:t>
      </w:r>
    </w:p>
    <w:tbl>
      <w:tblPr>
        <w:tblStyle w:val="3"/>
        <w:tblpPr w:leftFromText="180" w:rightFromText="180" w:vertAnchor="text" w:horzAnchor="page" w:tblpX="1380" w:tblpY="349"/>
        <w:tblOverlap w:val="never"/>
        <w:tblW w:w="9235" w:type="dxa"/>
        <w:tblInd w:w="0" w:type="dxa"/>
        <w:shd w:val="clear" w:color="auto" w:fill="auto"/>
        <w:tblLayout w:type="fixed"/>
        <w:tblCellMar>
          <w:top w:w="0" w:type="dxa"/>
          <w:left w:w="108" w:type="dxa"/>
          <w:bottom w:w="0" w:type="dxa"/>
          <w:right w:w="108" w:type="dxa"/>
        </w:tblCellMar>
      </w:tblPr>
      <w:tblGrid>
        <w:gridCol w:w="1221"/>
        <w:gridCol w:w="435"/>
        <w:gridCol w:w="585"/>
        <w:gridCol w:w="1905"/>
        <w:gridCol w:w="1455"/>
        <w:gridCol w:w="1125"/>
        <w:gridCol w:w="2509"/>
      </w:tblGrid>
      <w:tr>
        <w:tblPrEx>
          <w:tblCellMar>
            <w:top w:w="0" w:type="dxa"/>
            <w:left w:w="108" w:type="dxa"/>
            <w:bottom w:w="0" w:type="dxa"/>
            <w:right w:w="108" w:type="dxa"/>
          </w:tblCellMar>
        </w:tblPrEx>
        <w:trPr>
          <w:trHeight w:val="360" w:hRule="atLeast"/>
        </w:trPr>
        <w:tc>
          <w:tcPr>
            <w:tcW w:w="41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项目</w:t>
            </w:r>
          </w:p>
        </w:tc>
        <w:tc>
          <w:tcPr>
            <w:tcW w:w="50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支出预算</w:t>
            </w:r>
          </w:p>
        </w:tc>
      </w:tr>
      <w:tr>
        <w:tblPrEx>
          <w:tblCellMar>
            <w:top w:w="0" w:type="dxa"/>
            <w:left w:w="108" w:type="dxa"/>
            <w:bottom w:w="0" w:type="dxa"/>
            <w:right w:w="108" w:type="dxa"/>
          </w:tblCellMar>
        </w:tblPrEx>
        <w:trPr>
          <w:trHeight w:val="360" w:hRule="atLeast"/>
        </w:trPr>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功能分类科目名称</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360" w:hRule="atLeast"/>
        </w:trPr>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24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552.02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518.82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33.20 </w:t>
            </w:r>
          </w:p>
        </w:tc>
      </w:tr>
      <w:tr>
        <w:tblPrEx>
          <w:tblCellMar>
            <w:top w:w="0" w:type="dxa"/>
            <w:left w:w="108" w:type="dxa"/>
            <w:bottom w:w="0" w:type="dxa"/>
            <w:right w:w="108" w:type="dxa"/>
          </w:tblCellMar>
        </w:tblPrEx>
        <w:trPr>
          <w:trHeight w:val="24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552.02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518.82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33.20 </w:t>
            </w:r>
          </w:p>
        </w:tc>
      </w:tr>
      <w:tr>
        <w:tblPrEx>
          <w:tblCellMar>
            <w:top w:w="0" w:type="dxa"/>
            <w:left w:w="108" w:type="dxa"/>
            <w:bottom w:w="0" w:type="dxa"/>
            <w:right w:w="108" w:type="dxa"/>
          </w:tblCellMar>
        </w:tblPrEx>
        <w:trPr>
          <w:trHeight w:val="45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其他商贸事务支出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27.00 </w:t>
            </w:r>
          </w:p>
        </w:tc>
      </w:tr>
      <w:tr>
        <w:tblPrEx>
          <w:tblCellMar>
            <w:top w:w="0" w:type="dxa"/>
            <w:left w:w="108" w:type="dxa"/>
            <w:bottom w:w="0" w:type="dxa"/>
            <w:right w:w="108" w:type="dxa"/>
          </w:tblCellMar>
        </w:tblPrEx>
        <w:trPr>
          <w:trHeight w:val="45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525.02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518.82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6.20 </w:t>
            </w:r>
          </w:p>
        </w:tc>
      </w:tr>
      <w:tr>
        <w:tblPrEx>
          <w:tblCellMar>
            <w:top w:w="0" w:type="dxa"/>
            <w:left w:w="108" w:type="dxa"/>
            <w:bottom w:w="0" w:type="dxa"/>
            <w:right w:w="108" w:type="dxa"/>
          </w:tblCellMar>
        </w:tblPrEx>
        <w:trPr>
          <w:trHeight w:val="24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205</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普通教育</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205</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学前教育</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554.62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521.42 </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33.20 </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ascii="仿宋_GB2312" w:hAnsi="宋体" w:eastAsia="仿宋_GB2312"/>
          <w:kern w:val="0"/>
          <w:szCs w:val="21"/>
        </w:rPr>
      </w:pPr>
      <w:r>
        <w:rPr>
          <w:rFonts w:hint="eastAsia" w:ascii="仿宋_GB2312" w:hAnsi="宋体" w:eastAsia="仿宋_GB2312"/>
          <w:kern w:val="0"/>
          <w:szCs w:val="21"/>
          <w:lang w:eastAsia="zh-CN"/>
        </w:rPr>
        <w:t>编制部门（单位）：克孜勒苏柯尔克孜自治州工业和信息化局</w:t>
      </w:r>
      <w:r>
        <w:rPr>
          <w:rFonts w:hint="eastAsia" w:ascii="仿宋_GB2312" w:hAnsi="宋体" w:eastAsia="仿宋_GB2312"/>
          <w:kern w:val="0"/>
          <w:szCs w:val="21"/>
        </w:rPr>
        <w:t xml:space="preserve">                                      单位：万元</w:t>
      </w:r>
    </w:p>
    <w:tbl>
      <w:tblPr>
        <w:tblStyle w:val="3"/>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537.62</w:t>
            </w:r>
            <w:r>
              <w:rPr>
                <w:rFonts w:hint="eastAsia" w:ascii="仿宋_GB2312" w:hAnsi="宋体" w:eastAsia="仿宋_GB2312" w:cs="宋体"/>
                <w:color w:val="000000"/>
                <w:kern w:val="0"/>
                <w:sz w:val="22"/>
                <w:szCs w:val="22"/>
              </w:rPr>
              <w:t>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535.02</w:t>
            </w: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535.02</w:t>
            </w: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537.62</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2.6</w:t>
            </w: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2.6</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537.62</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仿宋_GB2312" w:hAnsi="宋体" w:eastAsia="仿宋_GB2312" w:cs="宋体"/>
                <w:color w:val="000000"/>
                <w:kern w:val="0"/>
                <w:sz w:val="22"/>
                <w:szCs w:val="22"/>
                <w:lang w:val="en-US" w:eastAsia="zh-CN"/>
              </w:rPr>
              <w:t>537.62</w:t>
            </w: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仿宋_GB2312" w:hAnsi="宋体" w:eastAsia="仿宋_GB2312" w:cs="宋体"/>
                <w:color w:val="000000"/>
                <w:kern w:val="0"/>
                <w:sz w:val="22"/>
                <w:szCs w:val="22"/>
                <w:lang w:val="en-US" w:eastAsia="zh-CN"/>
              </w:rPr>
              <w:t>537.62</w:t>
            </w: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表五：</w:t>
      </w:r>
    </w:p>
    <w:tbl>
      <w:tblPr>
        <w:tblStyle w:val="3"/>
        <w:tblpPr w:leftFromText="180" w:rightFromText="180" w:vertAnchor="text" w:horzAnchor="page" w:tblpX="1405" w:tblpY="595"/>
        <w:tblOverlap w:val="never"/>
        <w:tblW w:w="9593" w:type="dxa"/>
        <w:tblInd w:w="0" w:type="dxa"/>
        <w:shd w:val="clear" w:color="auto" w:fill="auto"/>
        <w:tblLayout w:type="fixed"/>
        <w:tblCellMar>
          <w:top w:w="0" w:type="dxa"/>
          <w:left w:w="108" w:type="dxa"/>
          <w:bottom w:w="0" w:type="dxa"/>
          <w:right w:w="108" w:type="dxa"/>
        </w:tblCellMar>
      </w:tblPr>
      <w:tblGrid>
        <w:gridCol w:w="1199"/>
        <w:gridCol w:w="824"/>
        <w:gridCol w:w="1433"/>
        <w:gridCol w:w="1905"/>
        <w:gridCol w:w="1311"/>
        <w:gridCol w:w="1302"/>
        <w:gridCol w:w="1619"/>
      </w:tblGrid>
      <w:tr>
        <w:tblPrEx>
          <w:tblCellMar>
            <w:top w:w="0" w:type="dxa"/>
            <w:left w:w="108" w:type="dxa"/>
            <w:bottom w:w="0" w:type="dxa"/>
            <w:right w:w="108" w:type="dxa"/>
          </w:tblCellMar>
        </w:tblPrEx>
        <w:trPr>
          <w:trHeight w:val="493" w:hRule="atLeast"/>
        </w:trPr>
        <w:tc>
          <w:tcPr>
            <w:tcW w:w="9593" w:type="dxa"/>
            <w:gridSpan w:val="7"/>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一般公共预算支出情况表</w:t>
            </w:r>
          </w:p>
        </w:tc>
      </w:tr>
      <w:tr>
        <w:tblPrEx>
          <w:tblCellMar>
            <w:top w:w="0" w:type="dxa"/>
            <w:left w:w="108" w:type="dxa"/>
            <w:bottom w:w="0" w:type="dxa"/>
            <w:right w:w="108" w:type="dxa"/>
          </w:tblCellMar>
        </w:tblPrEx>
        <w:trPr>
          <w:trHeight w:val="493" w:hRule="atLeast"/>
        </w:trPr>
        <w:tc>
          <w:tcPr>
            <w:tcW w:w="5361" w:type="dxa"/>
            <w:gridSpan w:val="4"/>
            <w:tcBorders>
              <w:top w:val="nil"/>
              <w:left w:val="nil"/>
              <w:bottom w:val="nil"/>
              <w:right w:val="nil"/>
            </w:tcBorders>
            <w:shd w:val="clear" w:color="auto" w:fill="auto"/>
            <w:noWrap/>
            <w:vAlign w:val="center"/>
          </w:tcPr>
          <w:p>
            <w:pPr>
              <w:jc w:val="both"/>
              <w:rPr>
                <w:rFonts w:hint="eastAsia" w:ascii="宋体" w:hAnsi="宋体" w:eastAsia="宋体" w:cs="宋体"/>
                <w:b/>
                <w:bCs/>
                <w:i w:val="0"/>
                <w:iCs w:val="0"/>
                <w:color w:val="000000"/>
                <w:sz w:val="32"/>
                <w:szCs w:val="32"/>
                <w:u w:val="none"/>
              </w:rPr>
            </w:pPr>
            <w:r>
              <w:rPr>
                <w:rFonts w:hint="eastAsia" w:ascii="仿宋_GB2312" w:hAnsi="宋体" w:eastAsia="仿宋_GB2312" w:cs="宋体"/>
                <w:color w:val="000000"/>
                <w:kern w:val="0"/>
                <w:sz w:val="24"/>
                <w:lang w:eastAsia="zh-CN"/>
              </w:rPr>
              <w:t>编制部门（单位）克孜勒苏柯尔克孜自治州工业和信息化局</w:t>
            </w:r>
            <w:r>
              <w:rPr>
                <w:rFonts w:hint="eastAsia" w:ascii="仿宋_GB2312" w:hAnsi="宋体" w:eastAsia="仿宋_GB2312" w:cs="宋体"/>
                <w:color w:val="000000"/>
                <w:kern w:val="0"/>
                <w:sz w:val="24"/>
              </w:rPr>
              <w:t>：</w:t>
            </w:r>
          </w:p>
        </w:tc>
        <w:tc>
          <w:tcPr>
            <w:tcW w:w="1311" w:type="dxa"/>
            <w:tcBorders>
              <w:top w:val="nil"/>
              <w:left w:val="nil"/>
              <w:bottom w:val="nil"/>
              <w:right w:val="nil"/>
            </w:tcBorders>
            <w:shd w:val="clear" w:color="auto" w:fill="auto"/>
            <w:noWrap/>
            <w:vAlign w:val="center"/>
          </w:tcPr>
          <w:p>
            <w:pPr>
              <w:jc w:val="both"/>
              <w:rPr>
                <w:rFonts w:hint="eastAsia" w:ascii="宋体" w:hAnsi="宋体" w:eastAsia="宋体" w:cs="宋体"/>
                <w:b/>
                <w:bCs/>
                <w:i w:val="0"/>
                <w:iCs w:val="0"/>
                <w:color w:val="000000"/>
                <w:sz w:val="32"/>
                <w:szCs w:val="32"/>
                <w:u w:val="none"/>
              </w:rPr>
            </w:pPr>
          </w:p>
        </w:tc>
        <w:tc>
          <w:tcPr>
            <w:tcW w:w="1302" w:type="dxa"/>
            <w:tcBorders>
              <w:top w:val="nil"/>
              <w:left w:val="nil"/>
              <w:bottom w:val="nil"/>
              <w:right w:val="nil"/>
            </w:tcBorders>
            <w:shd w:val="clear" w:color="auto" w:fill="auto"/>
            <w:noWrap/>
            <w:vAlign w:val="center"/>
          </w:tcPr>
          <w:p>
            <w:pPr>
              <w:jc w:val="both"/>
              <w:rPr>
                <w:rFonts w:hint="eastAsia" w:ascii="宋体" w:hAnsi="宋体" w:eastAsia="宋体" w:cs="宋体"/>
                <w:b/>
                <w:bCs/>
                <w:i w:val="0"/>
                <w:iCs w:val="0"/>
                <w:color w:val="000000"/>
                <w:sz w:val="32"/>
                <w:szCs w:val="32"/>
                <w:u w:val="none"/>
              </w:rPr>
            </w:pPr>
          </w:p>
        </w:tc>
        <w:tc>
          <w:tcPr>
            <w:tcW w:w="161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60" w:hRule="atLeast"/>
        </w:trPr>
        <w:tc>
          <w:tcPr>
            <w:tcW w:w="5361"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项目</w:t>
            </w:r>
          </w:p>
        </w:tc>
        <w:tc>
          <w:tcPr>
            <w:tcW w:w="4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一般公共预算支出</w:t>
            </w:r>
          </w:p>
        </w:tc>
      </w:tr>
      <w:tr>
        <w:tblPrEx>
          <w:tblCellMar>
            <w:top w:w="0" w:type="dxa"/>
            <w:left w:w="108" w:type="dxa"/>
            <w:bottom w:w="0" w:type="dxa"/>
            <w:right w:w="108" w:type="dxa"/>
          </w:tblCellMar>
        </w:tblPrEx>
        <w:trPr>
          <w:trHeight w:val="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功能分类科目名称</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36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12"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33"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535.02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518.82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16.20 </w:t>
            </w:r>
          </w:p>
        </w:tc>
      </w:tr>
      <w:tr>
        <w:tblPrEx>
          <w:tblCellMar>
            <w:top w:w="0" w:type="dxa"/>
            <w:left w:w="108" w:type="dxa"/>
            <w:bottom w:w="0" w:type="dxa"/>
            <w:right w:w="108" w:type="dxa"/>
          </w:tblCellMar>
        </w:tblPrEx>
        <w:trPr>
          <w:trHeight w:val="24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  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535.02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518.82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16.20 </w:t>
            </w: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43.39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43.39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其他商贸事务支出</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3.34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3.34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其他商贸事务支出</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132.21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132.21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34.32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34.32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5.87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5.87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163.77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163.77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30.81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30.81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6.20 </w:t>
            </w: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42.89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42.89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行政运行（商贸事务）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205</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205</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学前教育</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45"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537.62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521.42 </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16.20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hAnsi="宋体"/>
          <w:b/>
          <w:kern w:val="0"/>
          <w:sz w:val="28"/>
          <w:szCs w:val="32"/>
        </w:rPr>
      </w:pPr>
    </w:p>
    <w:p>
      <w:pPr>
        <w:widowControl/>
        <w:outlineLvl w:val="1"/>
        <w:rPr>
          <w:rFonts w:hAnsi="宋体"/>
          <w:b/>
          <w:kern w:val="0"/>
          <w:sz w:val="28"/>
          <w:szCs w:val="32"/>
        </w:rPr>
      </w:pPr>
    </w:p>
    <w:p>
      <w:pPr>
        <w:widowControl/>
        <w:outlineLvl w:val="1"/>
        <w:rPr>
          <w:rFonts w:hAnsi="宋体"/>
          <w:b/>
          <w:kern w:val="0"/>
          <w:sz w:val="28"/>
          <w:szCs w:val="32"/>
        </w:rPr>
      </w:pPr>
    </w:p>
    <w:p>
      <w:pPr>
        <w:widowControl/>
        <w:outlineLvl w:val="1"/>
        <w:rPr>
          <w:rFonts w:hAnsi="宋体"/>
          <w:b/>
          <w:kern w:val="0"/>
          <w:sz w:val="28"/>
          <w:szCs w:val="32"/>
        </w:rPr>
      </w:pPr>
    </w:p>
    <w:p>
      <w:pPr>
        <w:widowControl/>
        <w:outlineLvl w:val="1"/>
        <w:rPr>
          <w:rFonts w:hAnsi="宋体"/>
          <w:b/>
          <w:kern w:val="0"/>
          <w:sz w:val="28"/>
          <w:szCs w:val="32"/>
        </w:rPr>
      </w:pPr>
    </w:p>
    <w:p>
      <w:pPr>
        <w:widowControl/>
        <w:outlineLvl w:val="1"/>
        <w:rPr>
          <w:rFonts w:hAnsi="宋体"/>
          <w:b/>
          <w:kern w:val="0"/>
          <w:sz w:val="28"/>
          <w:szCs w:val="32"/>
        </w:rPr>
      </w:pPr>
    </w:p>
    <w:p>
      <w:pPr>
        <w:widowControl/>
        <w:outlineLvl w:val="1"/>
        <w:rPr>
          <w:rFonts w:hint="eastAsia" w:hAnsi="宋体" w:eastAsia="宋体"/>
          <w:b/>
          <w:kern w:val="0"/>
          <w:sz w:val="28"/>
          <w:szCs w:val="32"/>
          <w:lang w:eastAsia="zh-CN"/>
        </w:rPr>
      </w:pPr>
    </w:p>
    <w:p>
      <w:pPr>
        <w:widowControl/>
        <w:outlineLvl w:val="1"/>
        <w:rPr>
          <w:rFonts w:hint="eastAsia" w:hAnsi="宋体" w:eastAsia="宋体"/>
          <w:b/>
          <w:kern w:val="0"/>
          <w:sz w:val="28"/>
          <w:szCs w:val="32"/>
          <w:lang w:eastAsia="zh-CN"/>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3"/>
        <w:tblW w:w="9328" w:type="dxa"/>
        <w:tblInd w:w="-148" w:type="dxa"/>
        <w:tblLayout w:type="fixed"/>
        <w:tblCellMar>
          <w:top w:w="0" w:type="dxa"/>
          <w:left w:w="108" w:type="dxa"/>
          <w:bottom w:w="0" w:type="dxa"/>
          <w:right w:w="108" w:type="dxa"/>
        </w:tblCellMar>
      </w:tblPr>
      <w:tblGrid>
        <w:gridCol w:w="757"/>
        <w:gridCol w:w="577"/>
        <w:gridCol w:w="2891"/>
        <w:gridCol w:w="1701"/>
        <w:gridCol w:w="976"/>
        <w:gridCol w:w="725"/>
        <w:gridCol w:w="1701"/>
      </w:tblGrid>
      <w:tr>
        <w:tblPrEx>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74" w:hRule="atLeast"/>
        </w:trPr>
        <w:tc>
          <w:tcPr>
            <w:tcW w:w="6902" w:type="dxa"/>
            <w:gridSpan w:val="5"/>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编制部门（单位）克孜勒苏柯尔克孜自治州工业和信息化局</w:t>
            </w:r>
            <w:r>
              <w:rPr>
                <w:rFonts w:hint="eastAsia" w:ascii="仿宋_GB2312" w:hAnsi="宋体" w:eastAsia="仿宋_GB2312" w:cs="宋体"/>
                <w:color w:val="000000"/>
                <w:kern w:val="0"/>
                <w:sz w:val="24"/>
              </w:rPr>
              <w:t>：</w:t>
            </w:r>
          </w:p>
          <w:p>
            <w:pPr>
              <w:widowControl/>
              <w:jc w:val="left"/>
              <w:rPr>
                <w:rFonts w:ascii="仿宋_GB2312" w:hAnsi="宋体" w:eastAsia="仿宋_GB2312" w:cs="宋体"/>
                <w:color w:val="000000"/>
                <w:kern w:val="0"/>
                <w:sz w:val="24"/>
              </w:rPr>
            </w:pP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津贴补贴</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163.77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163.77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基本工资</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132.21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132.21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其他社会保障缴费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43.39</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43.39</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17</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公务接待费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奖励金</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0.02</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0.02</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机关事业单位基本养老保险缴费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42.89</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42.89</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06</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电费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2</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42</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办公用品及设备采购</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2.32</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2.32</w:t>
            </w: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差旅费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1.4</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1.4</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31</w:t>
            </w:r>
            <w:r>
              <w:rPr>
                <w:rFonts w:hint="eastAsia" w:ascii="仿宋_GB2312" w:hAnsi="宋体" w:eastAsia="仿宋_GB2312" w:cs="宋体"/>
                <w:color w:val="000000"/>
                <w:kern w:val="0"/>
                <w:sz w:val="20"/>
                <w:szCs w:val="20"/>
                <w:lang w:eastAsia="zh-CN"/>
              </w:rPr>
              <w:t>　</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公务用车运行维护费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7</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7</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退休费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34.32</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34.32</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住房公积金</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30.81</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30.81</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工会经费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1.86</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1.86</w:t>
            </w: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福利费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3.34</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3.34</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99</w:t>
            </w:r>
            <w:r>
              <w:rPr>
                <w:rFonts w:hint="eastAsia" w:ascii="仿宋_GB2312" w:hAnsi="宋体" w:eastAsia="仿宋_GB2312" w:cs="宋体"/>
                <w:color w:val="000000"/>
                <w:kern w:val="0"/>
                <w:sz w:val="20"/>
                <w:szCs w:val="20"/>
                <w:lang w:eastAsia="zh-CN"/>
              </w:rPr>
              <w:t>　</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其他对个人和家庭的补助</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17.62</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17.62</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1.68</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1.68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取暖费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3.5</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99</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其他商品和服务支出</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离休费</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13.3</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13.3</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奖励</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11.02</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11.02</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05</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生活补助</w:t>
            </w:r>
          </w:p>
        </w:tc>
        <w:tc>
          <w:tcPr>
            <w:tcW w:w="170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5,87</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　</w:t>
            </w: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办公费</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521.42</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495.32</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26.1</w:t>
            </w:r>
          </w:p>
        </w:tc>
      </w:tr>
    </w:tbl>
    <w:p>
      <w:pPr>
        <w:widowControl/>
        <w:jc w:val="left"/>
        <w:outlineLvl w:val="1"/>
        <w:rPr>
          <w:rFonts w:hint="eastAsia" w:hAnsi="宋体"/>
          <w:b/>
          <w:kern w:val="0"/>
          <w:sz w:val="32"/>
          <w:szCs w:val="32"/>
          <w:lang w:eastAsia="zh-CN"/>
        </w:rPr>
      </w:pPr>
    </w:p>
    <w:p>
      <w:pPr>
        <w:widowControl/>
        <w:jc w:val="left"/>
        <w:outlineLvl w:val="1"/>
        <w:rPr>
          <w:rFonts w:hint="eastAsia" w:hAnsi="宋体"/>
          <w:b/>
          <w:kern w:val="0"/>
          <w:sz w:val="32"/>
          <w:szCs w:val="32"/>
          <w:lang w:eastAsia="zh-CN"/>
        </w:rPr>
      </w:pPr>
    </w:p>
    <w:p>
      <w:pPr>
        <w:widowControl/>
        <w:jc w:val="left"/>
        <w:outlineLvl w:val="1"/>
        <w:rPr>
          <w:rFonts w:hint="eastAsia" w:ascii="仿宋_GB2312" w:hAnsi="宋体" w:eastAsia="仿宋_GB2312"/>
          <w:b/>
          <w:kern w:val="0"/>
          <w:sz w:val="32"/>
          <w:szCs w:val="32"/>
          <w:lang w:eastAsia="zh-CN"/>
        </w:rPr>
      </w:pPr>
      <w:r>
        <w:rPr>
          <w:rFonts w:hint="eastAsia" w:ascii="仿宋_GB2312" w:hAnsi="宋体" w:eastAsia="仿宋_GB2312"/>
          <w:b/>
          <w:kern w:val="0"/>
          <w:sz w:val="32"/>
          <w:szCs w:val="32"/>
          <w:lang w:eastAsia="zh-CN"/>
        </w:rPr>
        <w:t>表七：</w:t>
      </w:r>
    </w:p>
    <w:tbl>
      <w:tblPr>
        <w:tblStyle w:val="3"/>
        <w:tblW w:w="9691" w:type="dxa"/>
        <w:tblInd w:w="-511" w:type="dxa"/>
        <w:tblLayout w:type="fixed"/>
        <w:tblCellMar>
          <w:top w:w="0" w:type="dxa"/>
          <w:left w:w="108" w:type="dxa"/>
          <w:bottom w:w="0" w:type="dxa"/>
          <w:right w:w="108" w:type="dxa"/>
        </w:tblCellMar>
      </w:tblPr>
      <w:tblGrid>
        <w:gridCol w:w="151"/>
        <w:gridCol w:w="543"/>
        <w:gridCol w:w="412"/>
        <w:gridCol w:w="469"/>
        <w:gridCol w:w="881"/>
        <w:gridCol w:w="938"/>
        <w:gridCol w:w="1005"/>
        <w:gridCol w:w="110"/>
        <w:gridCol w:w="459"/>
        <w:gridCol w:w="469"/>
        <w:gridCol w:w="719"/>
        <w:gridCol w:w="652"/>
        <w:gridCol w:w="378"/>
        <w:gridCol w:w="619"/>
        <w:gridCol w:w="578"/>
        <w:gridCol w:w="420"/>
        <w:gridCol w:w="420"/>
        <w:gridCol w:w="389"/>
        <w:gridCol w:w="79"/>
      </w:tblGrid>
      <w:tr>
        <w:tblPrEx>
          <w:tblCellMar>
            <w:top w:w="0" w:type="dxa"/>
            <w:left w:w="108" w:type="dxa"/>
            <w:bottom w:w="0" w:type="dxa"/>
            <w:right w:w="108" w:type="dxa"/>
          </w:tblCellMar>
        </w:tblPrEx>
        <w:trPr>
          <w:gridAfter w:val="1"/>
          <w:wAfter w:w="79" w:type="dxa"/>
          <w:trHeight w:val="549" w:hRule="atLeast"/>
        </w:trPr>
        <w:tc>
          <w:tcPr>
            <w:tcW w:w="9612"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After w:val="1"/>
          <w:wAfter w:w="79" w:type="dxa"/>
          <w:trHeight w:val="405" w:hRule="atLeast"/>
        </w:trPr>
        <w:tc>
          <w:tcPr>
            <w:tcW w:w="4509" w:type="dxa"/>
            <w:gridSpan w:val="8"/>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p>
        </w:tc>
        <w:tc>
          <w:tcPr>
            <w:tcW w:w="928"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749"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5"/>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630" w:hRule="atLeast"/>
        </w:trPr>
        <w:tc>
          <w:tcPr>
            <w:tcW w:w="1424" w:type="dxa"/>
            <w:gridSpan w:val="3"/>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81"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38"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100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4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7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3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6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1839" w:hRule="atLeast"/>
        </w:trPr>
        <w:tc>
          <w:tcPr>
            <w:tcW w:w="543"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2"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69"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8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93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100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3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353" w:hRule="atLeast"/>
        </w:trPr>
        <w:tc>
          <w:tcPr>
            <w:tcW w:w="543" w:type="dxa"/>
            <w:tcBorders>
              <w:bottom w:val="single" w:color="auto" w:sz="4" w:space="0"/>
            </w:tcBorders>
            <w:noWrap/>
            <w:vAlign w:val="center"/>
          </w:tcPr>
          <w:p>
            <w:pPr>
              <w:widowControl/>
              <w:jc w:val="center"/>
              <w:outlineLvl w:val="1"/>
              <w:rPr>
                <w:rFonts w:hint="default" w:ascii="仿宋_GB2312" w:hAnsi="宋体" w:eastAsia="仿宋_GB2312"/>
                <w:b/>
                <w:kern w:val="0"/>
                <w:sz w:val="18"/>
                <w:szCs w:val="18"/>
                <w:lang w:val="en-US" w:eastAsia="zh-CN"/>
              </w:rPr>
            </w:pPr>
          </w:p>
        </w:tc>
        <w:tc>
          <w:tcPr>
            <w:tcW w:w="412" w:type="dxa"/>
            <w:tcBorders>
              <w:bottom w:val="single" w:color="auto" w:sz="4" w:space="0"/>
            </w:tcBorders>
            <w:noWrap/>
            <w:vAlign w:val="center"/>
          </w:tcPr>
          <w:p>
            <w:pPr>
              <w:widowControl/>
              <w:jc w:val="center"/>
              <w:outlineLvl w:val="1"/>
              <w:rPr>
                <w:rFonts w:hint="default" w:ascii="仿宋_GB2312" w:hAnsi="宋体" w:eastAsia="仿宋_GB2312"/>
                <w:b/>
                <w:kern w:val="0"/>
                <w:sz w:val="18"/>
                <w:szCs w:val="18"/>
                <w:lang w:val="en-US" w:eastAsia="zh-CN"/>
              </w:rPr>
            </w:pPr>
          </w:p>
        </w:tc>
        <w:tc>
          <w:tcPr>
            <w:tcW w:w="469" w:type="dxa"/>
            <w:tcBorders>
              <w:bottom w:val="single" w:color="auto" w:sz="4" w:space="0"/>
            </w:tcBorders>
            <w:noWrap/>
            <w:vAlign w:val="center"/>
          </w:tcPr>
          <w:p>
            <w:pPr>
              <w:widowControl/>
              <w:jc w:val="center"/>
              <w:outlineLvl w:val="1"/>
              <w:rPr>
                <w:rFonts w:hint="default" w:ascii="仿宋_GB2312" w:hAnsi="宋体" w:eastAsia="仿宋_GB2312"/>
                <w:b/>
                <w:kern w:val="0"/>
                <w:sz w:val="18"/>
                <w:szCs w:val="18"/>
                <w:lang w:val="en-US" w:eastAsia="zh-CN"/>
              </w:rPr>
            </w:pPr>
          </w:p>
        </w:tc>
        <w:tc>
          <w:tcPr>
            <w:tcW w:w="881" w:type="dxa"/>
            <w:tcBorders>
              <w:bottom w:val="single" w:color="auto" w:sz="4" w:space="0"/>
            </w:tcBorders>
            <w:vAlign w:val="center"/>
          </w:tcPr>
          <w:p>
            <w:pPr>
              <w:widowControl/>
              <w:jc w:val="center"/>
              <w:outlineLvl w:val="1"/>
              <w:rPr>
                <w:rFonts w:hint="default" w:ascii="仿宋_GB2312" w:hAnsi="宋体" w:eastAsia="仿宋_GB2312"/>
                <w:b/>
                <w:kern w:val="0"/>
                <w:sz w:val="18"/>
                <w:szCs w:val="18"/>
                <w:lang w:val="en-US" w:eastAsia="zh-CN"/>
              </w:rPr>
            </w:pPr>
          </w:p>
        </w:tc>
        <w:tc>
          <w:tcPr>
            <w:tcW w:w="938" w:type="dxa"/>
            <w:tcBorders>
              <w:bottom w:val="single" w:color="auto" w:sz="4" w:space="0"/>
            </w:tcBorders>
          </w:tcPr>
          <w:p>
            <w:pPr>
              <w:widowControl/>
              <w:jc w:val="center"/>
              <w:outlineLvl w:val="1"/>
              <w:rPr>
                <w:rFonts w:hint="default" w:ascii="仿宋_GB2312" w:hAnsi="宋体" w:eastAsia="仿宋_GB2312"/>
                <w:b/>
                <w:kern w:val="0"/>
                <w:sz w:val="18"/>
                <w:szCs w:val="18"/>
                <w:lang w:val="en-US" w:eastAsia="zh-CN"/>
              </w:rPr>
            </w:pPr>
          </w:p>
        </w:tc>
        <w:tc>
          <w:tcPr>
            <w:tcW w:w="1005"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1</w:t>
            </w:r>
          </w:p>
        </w:tc>
        <w:tc>
          <w:tcPr>
            <w:tcW w:w="569" w:type="dxa"/>
            <w:gridSpan w:val="2"/>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2</w:t>
            </w:r>
          </w:p>
        </w:tc>
        <w:tc>
          <w:tcPr>
            <w:tcW w:w="469"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3</w:t>
            </w:r>
          </w:p>
        </w:tc>
        <w:tc>
          <w:tcPr>
            <w:tcW w:w="719"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4</w:t>
            </w:r>
          </w:p>
        </w:tc>
        <w:tc>
          <w:tcPr>
            <w:tcW w:w="652"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5</w:t>
            </w:r>
          </w:p>
        </w:tc>
        <w:tc>
          <w:tcPr>
            <w:tcW w:w="378"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6</w:t>
            </w:r>
          </w:p>
        </w:tc>
        <w:tc>
          <w:tcPr>
            <w:tcW w:w="619"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7</w:t>
            </w:r>
          </w:p>
        </w:tc>
        <w:tc>
          <w:tcPr>
            <w:tcW w:w="578"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8</w:t>
            </w:r>
          </w:p>
        </w:tc>
        <w:tc>
          <w:tcPr>
            <w:tcW w:w="420" w:type="dxa"/>
            <w:tcBorders>
              <w:bottom w:val="single" w:color="auto" w:sz="4" w:space="0"/>
            </w:tcBorders>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9</w:t>
            </w:r>
          </w:p>
        </w:tc>
        <w:tc>
          <w:tcPr>
            <w:tcW w:w="420" w:type="dxa"/>
            <w:tcBorders>
              <w:bottom w:val="single" w:color="auto" w:sz="4" w:space="0"/>
            </w:tcBorders>
          </w:tcPr>
          <w:p>
            <w:pPr>
              <w:widowControl/>
              <w:jc w:val="center"/>
              <w:outlineLvl w:val="1"/>
              <w:rPr>
                <w:rFonts w:hint="default"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10</w:t>
            </w:r>
          </w:p>
        </w:tc>
        <w:tc>
          <w:tcPr>
            <w:tcW w:w="468" w:type="dxa"/>
            <w:gridSpan w:val="2"/>
            <w:tcBorders>
              <w:bottom w:val="single" w:color="auto" w:sz="4" w:space="0"/>
            </w:tcBorders>
          </w:tcPr>
          <w:p>
            <w:pPr>
              <w:widowControl/>
              <w:jc w:val="center"/>
              <w:outlineLvl w:val="1"/>
              <w:rPr>
                <w:rFonts w:hint="default"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464" w:hRule="atLeast"/>
        </w:trPr>
        <w:tc>
          <w:tcPr>
            <w:tcW w:w="54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201</w:t>
            </w:r>
            <w:r>
              <w:rPr>
                <w:rFonts w:hint="eastAsia" w:ascii="仿宋_GB2312" w:hAnsi="宋体" w:eastAsia="仿宋_GB2312"/>
                <w:kern w:val="0"/>
                <w:sz w:val="18"/>
                <w:szCs w:val="18"/>
              </w:rPr>
              <w:t>　</w:t>
            </w:r>
          </w:p>
        </w:tc>
        <w:tc>
          <w:tcPr>
            <w:tcW w:w="412"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8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93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05"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16.20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19"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10.00</w:t>
            </w:r>
          </w:p>
        </w:tc>
        <w:tc>
          <w:tcPr>
            <w:tcW w:w="652" w:type="dxa"/>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6.20</w:t>
            </w:r>
          </w:p>
        </w:tc>
        <w:tc>
          <w:tcPr>
            <w:tcW w:w="3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682" w:hRule="atLeast"/>
        </w:trPr>
        <w:tc>
          <w:tcPr>
            <w:tcW w:w="543"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201</w:t>
            </w:r>
          </w:p>
        </w:tc>
        <w:tc>
          <w:tcPr>
            <w:tcW w:w="412"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13</w:t>
            </w:r>
          </w:p>
        </w:tc>
        <w:tc>
          <w:tcPr>
            <w:tcW w:w="46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8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商贸事务</w:t>
            </w:r>
          </w:p>
        </w:tc>
        <w:tc>
          <w:tcPr>
            <w:tcW w:w="93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05"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16.20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19"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10.00</w:t>
            </w:r>
          </w:p>
        </w:tc>
        <w:tc>
          <w:tcPr>
            <w:tcW w:w="652" w:type="dxa"/>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6.20</w:t>
            </w:r>
          </w:p>
        </w:tc>
        <w:tc>
          <w:tcPr>
            <w:tcW w:w="3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701" w:hRule="atLeast"/>
        </w:trPr>
        <w:tc>
          <w:tcPr>
            <w:tcW w:w="543"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201</w:t>
            </w:r>
          </w:p>
        </w:tc>
        <w:tc>
          <w:tcPr>
            <w:tcW w:w="412"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13</w:t>
            </w:r>
            <w:r>
              <w:rPr>
                <w:rFonts w:hint="eastAsia" w:ascii="仿宋_GB2312" w:hAnsi="宋体" w:eastAsia="仿宋_GB2312"/>
                <w:kern w:val="0"/>
                <w:sz w:val="18"/>
                <w:szCs w:val="18"/>
              </w:rPr>
              <w:t>　</w:t>
            </w:r>
          </w:p>
        </w:tc>
        <w:tc>
          <w:tcPr>
            <w:tcW w:w="469"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99</w:t>
            </w:r>
          </w:p>
        </w:tc>
        <w:tc>
          <w:tcPr>
            <w:tcW w:w="8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其他商贸事务支出</w:t>
            </w:r>
          </w:p>
        </w:tc>
        <w:tc>
          <w:tcPr>
            <w:tcW w:w="93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群众工作经费</w:t>
            </w:r>
          </w:p>
        </w:tc>
        <w:tc>
          <w:tcPr>
            <w:tcW w:w="1005"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10.00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19"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10.00</w:t>
            </w:r>
          </w:p>
        </w:tc>
        <w:tc>
          <w:tcPr>
            <w:tcW w:w="652" w:type="dxa"/>
          </w:tcPr>
          <w:p>
            <w:pPr>
              <w:widowControl/>
              <w:jc w:val="center"/>
              <w:outlineLvl w:val="1"/>
              <w:rPr>
                <w:rFonts w:hint="default" w:ascii="仿宋_GB2312" w:hAnsi="宋体" w:eastAsia="仿宋_GB2312"/>
                <w:kern w:val="0"/>
                <w:sz w:val="18"/>
                <w:szCs w:val="18"/>
                <w:lang w:val="en-US" w:eastAsia="zh-CN"/>
              </w:rPr>
            </w:pPr>
          </w:p>
        </w:tc>
        <w:tc>
          <w:tcPr>
            <w:tcW w:w="3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585" w:hRule="atLeast"/>
        </w:trPr>
        <w:tc>
          <w:tcPr>
            <w:tcW w:w="543"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201</w:t>
            </w:r>
            <w:r>
              <w:rPr>
                <w:rFonts w:hint="eastAsia" w:ascii="仿宋_GB2312" w:hAnsi="宋体" w:eastAsia="仿宋_GB2312"/>
                <w:kern w:val="0"/>
                <w:sz w:val="18"/>
                <w:szCs w:val="18"/>
              </w:rPr>
              <w:t>　</w:t>
            </w:r>
          </w:p>
        </w:tc>
        <w:tc>
          <w:tcPr>
            <w:tcW w:w="412"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lang w:val="en-US" w:eastAsia="zh-CN"/>
              </w:rPr>
              <w:t>13</w:t>
            </w:r>
            <w:r>
              <w:rPr>
                <w:rFonts w:hint="eastAsia" w:ascii="仿宋_GB2312" w:hAnsi="宋体" w:eastAsia="仿宋_GB2312"/>
                <w:kern w:val="0"/>
                <w:sz w:val="18"/>
                <w:szCs w:val="18"/>
              </w:rPr>
              <w:t>　</w:t>
            </w:r>
          </w:p>
        </w:tc>
        <w:tc>
          <w:tcPr>
            <w:tcW w:w="469"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01</w:t>
            </w:r>
          </w:p>
        </w:tc>
        <w:tc>
          <w:tcPr>
            <w:tcW w:w="88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行政运行（商贸事务）</w:t>
            </w:r>
          </w:p>
        </w:tc>
        <w:tc>
          <w:tcPr>
            <w:tcW w:w="93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农机精简厂工资及医保</w:t>
            </w:r>
          </w:p>
        </w:tc>
        <w:tc>
          <w:tcPr>
            <w:tcW w:w="1005"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6.20</w:t>
            </w:r>
          </w:p>
        </w:tc>
        <w:tc>
          <w:tcPr>
            <w:tcW w:w="569"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19" w:type="dxa"/>
          </w:tcPr>
          <w:p>
            <w:pPr>
              <w:widowControl/>
              <w:jc w:val="left"/>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10.00</w:t>
            </w:r>
          </w:p>
        </w:tc>
        <w:tc>
          <w:tcPr>
            <w:tcW w:w="652" w:type="dxa"/>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6.20</w:t>
            </w:r>
          </w:p>
        </w:tc>
        <w:tc>
          <w:tcPr>
            <w:tcW w:w="3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19"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1" w:type="dxa"/>
          <w:trHeight w:val="439" w:hRule="atLeast"/>
        </w:trPr>
        <w:tc>
          <w:tcPr>
            <w:tcW w:w="543" w:type="dxa"/>
            <w:tcBorders>
              <w:bottom w:val="single" w:color="auto" w:sz="4" w:space="0"/>
            </w:tcBorders>
            <w:noWrap/>
            <w:vAlign w:val="center"/>
          </w:tcPr>
          <w:p>
            <w:pPr>
              <w:widowControl/>
              <w:jc w:val="left"/>
              <w:outlineLvl w:val="1"/>
              <w:rPr>
                <w:rFonts w:hint="eastAsia" w:ascii="仿宋_GB2312" w:hAnsi="宋体" w:eastAsia="仿宋_GB2312"/>
                <w:b/>
                <w:kern w:val="0"/>
                <w:sz w:val="18"/>
                <w:szCs w:val="18"/>
              </w:rPr>
            </w:pPr>
          </w:p>
        </w:tc>
        <w:tc>
          <w:tcPr>
            <w:tcW w:w="412" w:type="dxa"/>
            <w:tcBorders>
              <w:bottom w:val="single" w:color="auto" w:sz="4" w:space="0"/>
            </w:tcBorders>
            <w:noWrap/>
            <w:vAlign w:val="center"/>
          </w:tcPr>
          <w:p>
            <w:pPr>
              <w:widowControl/>
              <w:jc w:val="left"/>
              <w:outlineLvl w:val="1"/>
              <w:rPr>
                <w:rFonts w:hint="eastAsia" w:ascii="仿宋_GB2312" w:hAnsi="宋体" w:eastAsia="仿宋_GB2312"/>
                <w:b/>
                <w:kern w:val="0"/>
                <w:sz w:val="18"/>
                <w:szCs w:val="18"/>
              </w:rPr>
            </w:pPr>
          </w:p>
        </w:tc>
        <w:tc>
          <w:tcPr>
            <w:tcW w:w="469" w:type="dxa"/>
            <w:tcBorders>
              <w:bottom w:val="single" w:color="auto" w:sz="4" w:space="0"/>
            </w:tcBorders>
            <w:noWrap/>
            <w:vAlign w:val="center"/>
          </w:tcPr>
          <w:p>
            <w:pPr>
              <w:widowControl/>
              <w:jc w:val="left"/>
              <w:outlineLvl w:val="1"/>
              <w:rPr>
                <w:rFonts w:hint="eastAsia" w:ascii="仿宋_GB2312" w:hAnsi="宋体" w:eastAsia="仿宋_GB2312"/>
                <w:b/>
                <w:kern w:val="0"/>
                <w:sz w:val="18"/>
                <w:szCs w:val="18"/>
              </w:rPr>
            </w:pPr>
          </w:p>
        </w:tc>
        <w:tc>
          <w:tcPr>
            <w:tcW w:w="881" w:type="dxa"/>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938" w:type="dxa"/>
            <w:tcBorders>
              <w:bottom w:val="single" w:color="auto" w:sz="4" w:space="0"/>
            </w:tcBorders>
          </w:tcPr>
          <w:p>
            <w:pPr>
              <w:widowControl/>
              <w:jc w:val="left"/>
              <w:outlineLvl w:val="1"/>
              <w:rPr>
                <w:rFonts w:hint="eastAsia" w:ascii="仿宋_GB2312" w:hAnsi="宋体" w:eastAsia="仿宋_GB2312"/>
                <w:b/>
                <w:kern w:val="0"/>
                <w:sz w:val="18"/>
                <w:szCs w:val="18"/>
                <w:lang w:eastAsia="zh-CN"/>
              </w:rPr>
            </w:pPr>
            <w:r>
              <w:rPr>
                <w:rFonts w:hint="eastAsia" w:ascii="仿宋_GB2312" w:hAnsi="宋体" w:eastAsia="仿宋_GB2312"/>
                <w:b/>
                <w:kern w:val="0"/>
                <w:sz w:val="18"/>
                <w:szCs w:val="18"/>
                <w:lang w:eastAsia="zh-CN"/>
              </w:rPr>
              <w:t>合计</w:t>
            </w:r>
          </w:p>
        </w:tc>
        <w:tc>
          <w:tcPr>
            <w:tcW w:w="1005" w:type="dxa"/>
            <w:tcBorders>
              <w:bottom w:val="single" w:color="auto" w:sz="4" w:space="0"/>
            </w:tcBorders>
          </w:tcPr>
          <w:p>
            <w:pPr>
              <w:widowControl/>
              <w:jc w:val="left"/>
              <w:outlineLvl w:val="1"/>
              <w:rPr>
                <w:rFonts w:hint="default"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16.20</w:t>
            </w:r>
          </w:p>
        </w:tc>
        <w:tc>
          <w:tcPr>
            <w:tcW w:w="569" w:type="dxa"/>
            <w:gridSpan w:val="2"/>
            <w:tcBorders>
              <w:bottom w:val="single" w:color="auto" w:sz="4" w:space="0"/>
            </w:tcBorders>
          </w:tcPr>
          <w:p>
            <w:pPr>
              <w:widowControl/>
              <w:jc w:val="left"/>
              <w:outlineLvl w:val="1"/>
              <w:rPr>
                <w:rFonts w:ascii="仿宋_GB2312" w:hAnsi="宋体" w:eastAsia="仿宋_GB2312"/>
                <w:b/>
                <w:kern w:val="0"/>
                <w:sz w:val="18"/>
                <w:szCs w:val="18"/>
              </w:rPr>
            </w:pPr>
          </w:p>
        </w:tc>
        <w:tc>
          <w:tcPr>
            <w:tcW w:w="469" w:type="dxa"/>
            <w:tcBorders>
              <w:bottom w:val="single" w:color="auto" w:sz="4" w:space="0"/>
            </w:tcBorders>
          </w:tcPr>
          <w:p>
            <w:pPr>
              <w:widowControl/>
              <w:jc w:val="left"/>
              <w:outlineLvl w:val="1"/>
              <w:rPr>
                <w:rFonts w:ascii="仿宋_GB2312" w:hAnsi="宋体" w:eastAsia="仿宋_GB2312"/>
                <w:b/>
                <w:kern w:val="0"/>
                <w:sz w:val="18"/>
                <w:szCs w:val="18"/>
              </w:rPr>
            </w:pPr>
          </w:p>
        </w:tc>
        <w:tc>
          <w:tcPr>
            <w:tcW w:w="719" w:type="dxa"/>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tcBorders>
              <w:bottom w:val="single" w:color="auto" w:sz="4" w:space="0"/>
            </w:tcBorders>
          </w:tcPr>
          <w:p>
            <w:pPr>
              <w:widowControl/>
              <w:jc w:val="left"/>
              <w:outlineLvl w:val="1"/>
              <w:rPr>
                <w:rFonts w:ascii="仿宋_GB2312" w:hAnsi="宋体" w:eastAsia="仿宋_GB2312"/>
                <w:b/>
                <w:kern w:val="0"/>
                <w:sz w:val="18"/>
                <w:szCs w:val="18"/>
              </w:rPr>
            </w:pPr>
          </w:p>
        </w:tc>
        <w:tc>
          <w:tcPr>
            <w:tcW w:w="378" w:type="dxa"/>
            <w:tcBorders>
              <w:bottom w:val="single" w:color="auto" w:sz="4" w:space="0"/>
            </w:tcBorders>
          </w:tcPr>
          <w:p>
            <w:pPr>
              <w:widowControl/>
              <w:jc w:val="left"/>
              <w:outlineLvl w:val="1"/>
              <w:rPr>
                <w:rFonts w:ascii="仿宋_GB2312" w:hAnsi="宋体" w:eastAsia="仿宋_GB2312"/>
                <w:b/>
                <w:kern w:val="0"/>
                <w:sz w:val="18"/>
                <w:szCs w:val="18"/>
              </w:rPr>
            </w:pPr>
          </w:p>
        </w:tc>
        <w:tc>
          <w:tcPr>
            <w:tcW w:w="619" w:type="dxa"/>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tcBorders>
              <w:bottom w:val="single" w:color="auto" w:sz="4" w:space="0"/>
            </w:tcBorders>
          </w:tcPr>
          <w:p>
            <w:pPr>
              <w:widowControl/>
              <w:jc w:val="left"/>
              <w:outlineLvl w:val="1"/>
              <w:rPr>
                <w:rFonts w:ascii="仿宋_GB2312" w:hAnsi="宋体" w:eastAsia="仿宋_GB2312"/>
                <w:b/>
                <w:kern w:val="0"/>
                <w:sz w:val="18"/>
                <w:szCs w:val="18"/>
              </w:rPr>
            </w:pPr>
          </w:p>
        </w:tc>
      </w:tr>
    </w:tbl>
    <w:p>
      <w:pPr>
        <w:widowControl/>
        <w:jc w:val="left"/>
        <w:outlineLvl w:val="1"/>
        <w:rPr>
          <w:rFonts w:hint="eastAsia" w:ascii="仿宋_GB2312" w:hAnsi="宋体" w:eastAsia="仿宋_GB2312"/>
          <w:b/>
          <w:kern w:val="0"/>
          <w:sz w:val="32"/>
          <w:szCs w:val="32"/>
          <w:lang w:eastAsia="zh-CN"/>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w:t>
      </w:r>
    </w:p>
    <w:p>
      <w:pPr>
        <w:widowControl/>
        <w:jc w:val="left"/>
        <w:outlineLvl w:val="1"/>
        <w:rPr>
          <w:rFonts w:ascii="仿宋_GB2312" w:hAnsi="宋体" w:eastAsia="仿宋_GB2312"/>
          <w:kern w:val="0"/>
          <w:sz w:val="24"/>
        </w:rPr>
      </w:pPr>
      <w:r>
        <w:rPr>
          <w:rFonts w:hint="eastAsia" w:ascii="仿宋_GB2312" w:hAnsi="宋体" w:eastAsia="仿宋_GB2312"/>
          <w:kern w:val="0"/>
          <w:sz w:val="24"/>
          <w:lang w:eastAsia="zh-CN"/>
        </w:rPr>
        <w:t>编制部门（单位）：克孜勒苏柯尔克孜自治州工业和信息化局</w:t>
      </w:r>
      <w:r>
        <w:rPr>
          <w:rFonts w:hint="eastAsia" w:ascii="仿宋_GB2312" w:hAnsi="宋体" w:eastAsia="仿宋_GB2312"/>
          <w:kern w:val="0"/>
          <w:sz w:val="24"/>
        </w:rPr>
        <w:t xml:space="preserve">         单位：万元</w:t>
      </w:r>
    </w:p>
    <w:tbl>
      <w:tblPr>
        <w:tblStyle w:val="3"/>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10.00</w:t>
            </w:r>
          </w:p>
        </w:tc>
        <w:tc>
          <w:tcPr>
            <w:tcW w:w="1417"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10.00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7.00</w:t>
            </w:r>
          </w:p>
        </w:tc>
        <w:tc>
          <w:tcPr>
            <w:tcW w:w="1712"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3.00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lang w:eastAsia="zh-CN"/>
        </w:rPr>
        <w:t>编制部门（单位）：克孜勒苏柯尔克孜自治州工业和信息化局</w:t>
      </w:r>
      <w:r>
        <w:rPr>
          <w:rFonts w:hint="eastAsia" w:ascii="仿宋_GB2312" w:hAnsi="宋体" w:eastAsia="仿宋_GB2312"/>
          <w:kern w:val="0"/>
          <w:sz w:val="24"/>
        </w:rPr>
        <w:t xml:space="preserve">                                              单位：万元</w:t>
      </w:r>
    </w:p>
    <w:tbl>
      <w:tblPr>
        <w:tblStyle w:val="3"/>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60" w:lineRule="exact"/>
        <w:jc w:val="both"/>
        <w:rPr>
          <w:rFonts w:hint="eastAsia" w:ascii="仿宋_GB2312" w:hAnsi="宋体" w:eastAsia="仿宋_GB2312"/>
          <w:b/>
          <w:kern w:val="0"/>
          <w:sz w:val="28"/>
          <w:szCs w:val="32"/>
          <w:lang w:val="en-US" w:eastAsia="zh-CN"/>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克孜勒苏柯尔克孜自治州工业和信息化局</w:t>
      </w:r>
      <w:r>
        <w:rPr>
          <w:rFonts w:hint="eastAsia" w:ascii="仿宋_GB2312" w:hAnsi="宋体" w:eastAsia="仿宋_GB2312"/>
          <w:b/>
          <w:kern w:val="0"/>
          <w:sz w:val="28"/>
          <w:szCs w:val="32"/>
          <w:lang w:val="en-US" w:eastAsia="zh-CN"/>
        </w:rPr>
        <w:t>2021年未安排政府性基金预算支出，故此表为空表。</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eastAsia="zh-CN"/>
        </w:rPr>
        <w:t>2021年克孜勒苏柯尔克孜自治州工业和信息化局</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克孜勒苏柯尔克孜自治州工业和信息化局2021年</w:t>
      </w:r>
      <w:r>
        <w:rPr>
          <w:rFonts w:hint="eastAsia" w:ascii="仿宋_GB2312" w:hAnsi="宋体" w:eastAsia="仿宋_GB2312" w:cs="宋体"/>
          <w:kern w:val="0"/>
          <w:sz w:val="32"/>
          <w:szCs w:val="32"/>
        </w:rPr>
        <w:t>所有收入和支出均纳入</w:t>
      </w:r>
      <w:r>
        <w:rPr>
          <w:rFonts w:hint="eastAsia" w:ascii="仿宋_GB2312" w:hAnsi="宋体" w:eastAsia="仿宋_GB2312" w:cs="宋体"/>
          <w:kern w:val="0"/>
          <w:sz w:val="32"/>
          <w:szCs w:val="32"/>
          <w:lang w:eastAsia="zh-CN"/>
        </w:rPr>
        <w:t>部门（单位）</w:t>
      </w:r>
      <w:r>
        <w:rPr>
          <w:rFonts w:hint="eastAsia" w:ascii="仿宋_GB2312" w:hAnsi="宋体" w:eastAsia="仿宋_GB2312" w:cs="宋体"/>
          <w:kern w:val="0"/>
          <w:sz w:val="32"/>
          <w:szCs w:val="32"/>
        </w:rPr>
        <w:t>预算管理。收支总预算</w:t>
      </w:r>
      <w:r>
        <w:rPr>
          <w:rFonts w:hint="eastAsia" w:ascii="仿宋_GB2312" w:hAnsi="宋体" w:eastAsia="仿宋_GB2312" w:cs="宋体"/>
          <w:kern w:val="0"/>
          <w:sz w:val="32"/>
          <w:szCs w:val="32"/>
          <w:lang w:val="en-US" w:eastAsia="zh-CN"/>
        </w:rPr>
        <w:t>554.62</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537.62万元</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上级专项收入</w:t>
      </w:r>
      <w:r>
        <w:rPr>
          <w:rFonts w:hint="eastAsia" w:ascii="仿宋_GB2312" w:hAnsi="宋体" w:eastAsia="仿宋_GB2312" w:cs="宋体"/>
          <w:kern w:val="0"/>
          <w:sz w:val="32"/>
          <w:szCs w:val="32"/>
          <w:lang w:val="en-US" w:eastAsia="zh-CN"/>
        </w:rPr>
        <w:t>17万元。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552.02万元</w:t>
      </w:r>
      <w:r>
        <w:rPr>
          <w:rFonts w:hint="eastAsia" w:ascii="仿宋_GB2312" w:hAnsi="宋体" w:eastAsia="仿宋_GB2312" w:cs="宋体"/>
          <w:kern w:val="0"/>
          <w:sz w:val="32"/>
          <w:szCs w:val="32"/>
        </w:rPr>
        <w:t>、教育支出</w:t>
      </w:r>
      <w:r>
        <w:rPr>
          <w:rFonts w:hint="eastAsia" w:ascii="仿宋_GB2312" w:hAnsi="宋体" w:eastAsia="仿宋_GB2312" w:cs="宋体"/>
          <w:kern w:val="0"/>
          <w:sz w:val="32"/>
          <w:szCs w:val="32"/>
          <w:lang w:val="en-US" w:eastAsia="zh-CN"/>
        </w:rPr>
        <w:t>2.6万元。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克孜勒苏柯尔克孜自治州工业和信息化局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554.62</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537.62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96.92</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减少</w:t>
      </w:r>
      <w:r>
        <w:rPr>
          <w:rFonts w:hint="eastAsia" w:ascii="仿宋_GB2312" w:hAnsi="宋体" w:eastAsia="仿宋_GB2312" w:cs="宋体"/>
          <w:color w:val="auto"/>
          <w:kern w:val="0"/>
          <w:sz w:val="32"/>
          <w:szCs w:val="32"/>
          <w:lang w:val="en-US" w:eastAsia="zh-CN"/>
        </w:rPr>
        <w:t>48.13</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eastAsia="zh-CN"/>
        </w:rPr>
        <w:t>人员减少</w:t>
      </w:r>
      <w:r>
        <w:rPr>
          <w:rFonts w:hint="eastAsia" w:ascii="仿宋_GB2312" w:hAnsi="宋体" w:eastAsia="仿宋_GB2312" w:cs="宋体"/>
          <w:color w:val="auto"/>
          <w:kern w:val="0"/>
          <w:sz w:val="32"/>
          <w:szCs w:val="32"/>
          <w:lang w:val="en-US" w:eastAsia="zh-CN"/>
        </w:rPr>
        <w:t>3人，人头经费相应减少</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上级专项收入</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3.08</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克孜勒苏柯尔克孜自治州工业和信息化局2021年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554.42</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color w:val="auto"/>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521.42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94.01</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增加</w:t>
      </w:r>
      <w:r>
        <w:rPr>
          <w:rFonts w:hint="eastAsia" w:ascii="仿宋_GB2312" w:hAnsi="宋体" w:eastAsia="仿宋_GB2312" w:cs="宋体"/>
          <w:color w:val="auto"/>
          <w:kern w:val="0"/>
          <w:sz w:val="32"/>
          <w:szCs w:val="32"/>
          <w:lang w:val="en-US" w:eastAsia="zh-CN"/>
        </w:rPr>
        <w:t>210.13</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eastAsia="zh-CN"/>
        </w:rPr>
        <w:t>人员工资的增加</w:t>
      </w:r>
      <w:r>
        <w:rPr>
          <w:rFonts w:hint="eastAsia" w:ascii="仿宋_GB2312" w:hAnsi="宋体" w:eastAsia="仿宋_GB2312" w:cs="宋体"/>
          <w:color w:val="auto"/>
          <w:kern w:val="0"/>
          <w:sz w:val="32"/>
          <w:szCs w:val="32"/>
        </w:rPr>
        <w:t>。</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项目支出</w:t>
      </w:r>
      <w:r>
        <w:rPr>
          <w:rFonts w:hint="eastAsia" w:ascii="仿宋_GB2312" w:hAnsi="宋体" w:eastAsia="仿宋_GB2312" w:cs="宋体"/>
          <w:color w:val="auto"/>
          <w:kern w:val="0"/>
          <w:sz w:val="32"/>
          <w:szCs w:val="32"/>
          <w:lang w:val="en-US" w:eastAsia="zh-CN"/>
        </w:rPr>
        <w:t>33.2</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5.99</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增加</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eastAsia="zh-CN"/>
        </w:rPr>
        <w:t>项目经费无变化</w:t>
      </w:r>
      <w:r>
        <w:rPr>
          <w:rFonts w:hint="eastAsia" w:ascii="仿宋_GB2312" w:hAnsi="宋体" w:eastAsia="仿宋_GB2312" w:cs="宋体"/>
          <w:color w:val="auto"/>
          <w:kern w:val="0"/>
          <w:sz w:val="32"/>
          <w:szCs w:val="32"/>
        </w:rPr>
        <w:t>。</w:t>
      </w:r>
    </w:p>
    <w:p>
      <w:pPr>
        <w:spacing w:line="560" w:lineRule="exact"/>
        <w:ind w:firstLine="619" w:firstLineChars="200"/>
        <w:rPr>
          <w:rFonts w:ascii="仿宋_GB2312" w:hAnsi="宋体" w:eastAsia="仿宋_GB2312" w:cs="宋体"/>
          <w:b/>
          <w:spacing w:val="-6"/>
          <w:kern w:val="0"/>
          <w:sz w:val="32"/>
          <w:szCs w:val="32"/>
        </w:rPr>
      </w:pP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克孜勒苏柯尔克孜自治州工业和信息化局2021年</w:t>
      </w:r>
      <w:r>
        <w:rPr>
          <w:rFonts w:hint="eastAsia" w:ascii="黑体" w:hAnsi="黑体" w:eastAsia="黑体" w:cs="宋体"/>
          <w:bCs/>
          <w:kern w:val="0"/>
          <w:sz w:val="32"/>
          <w:szCs w:val="32"/>
        </w:rPr>
        <w:t>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财政拨款收支总预算</w:t>
      </w:r>
      <w:r>
        <w:rPr>
          <w:rFonts w:hint="eastAsia" w:ascii="仿宋_GB2312" w:hAnsi="宋体" w:eastAsia="仿宋_GB2312" w:cs="宋体"/>
          <w:kern w:val="0"/>
          <w:sz w:val="32"/>
          <w:szCs w:val="32"/>
          <w:lang w:val="en-US" w:eastAsia="zh-CN"/>
        </w:rPr>
        <w:t>537.62</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kern w:val="0"/>
          <w:sz w:val="32"/>
          <w:szCs w:val="32"/>
          <w:highlight w:val="none"/>
          <w:lang w:val="en-US" w:eastAsia="zh-CN"/>
        </w:rPr>
        <w:t>537.62</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60" w:lineRule="exact"/>
        <w:ind w:firstLine="616" w:firstLineChars="200"/>
        <w:rPr>
          <w:rFonts w:hint="eastAsia" w:ascii="仿宋_GB2312" w:hAnsi="宋体" w:eastAsia="仿宋_GB2312" w:cs="宋体"/>
          <w:kern w:val="0"/>
          <w:sz w:val="32"/>
          <w:szCs w:val="32"/>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公共预算支出包括：一般公共服务</w:t>
      </w:r>
      <w:r>
        <w:rPr>
          <w:rFonts w:hint="eastAsia" w:ascii="仿宋_GB2312" w:hAnsi="宋体" w:eastAsia="仿宋_GB2312" w:cs="宋体"/>
          <w:spacing w:val="-6"/>
          <w:kern w:val="0"/>
          <w:sz w:val="32"/>
          <w:szCs w:val="32"/>
          <w:highlight w:val="none"/>
        </w:rPr>
        <w:t>支出</w:t>
      </w:r>
      <w:r>
        <w:rPr>
          <w:rFonts w:hint="eastAsia" w:ascii="仿宋_GB2312" w:hAnsi="宋体" w:eastAsia="仿宋_GB2312" w:cs="宋体"/>
          <w:kern w:val="0"/>
          <w:sz w:val="32"/>
          <w:szCs w:val="32"/>
          <w:highlight w:val="none"/>
          <w:lang w:val="en-US" w:eastAsia="zh-CN"/>
        </w:rPr>
        <w:t>537.62</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，主要用于</w:t>
      </w:r>
      <w:r>
        <w:rPr>
          <w:rFonts w:hint="eastAsia" w:ascii="仿宋_GB2312" w:hAnsi="宋体" w:eastAsia="仿宋_GB2312" w:cs="宋体"/>
          <w:spacing w:val="-6"/>
          <w:kern w:val="0"/>
          <w:sz w:val="32"/>
          <w:szCs w:val="32"/>
          <w:highlight w:val="none"/>
          <w:lang w:eastAsia="zh-CN"/>
        </w:rPr>
        <w:t>单位干部工资及日常开支</w:t>
      </w:r>
      <w:r>
        <w:rPr>
          <w:rFonts w:hint="eastAsia" w:ascii="仿宋_GB2312" w:hAnsi="宋体" w:eastAsia="仿宋_GB2312" w:cs="宋体"/>
          <w:spacing w:val="-6"/>
          <w:kern w:val="0"/>
          <w:sz w:val="32"/>
          <w:szCs w:val="32"/>
          <w:highlight w:val="none"/>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克孜勒苏柯尔克孜自治州工业和信息化局2021年</w:t>
      </w:r>
      <w:r>
        <w:rPr>
          <w:rFonts w:hint="eastAsia" w:ascii="仿宋_GB2312" w:hAnsi="宋体" w:eastAsia="仿宋_GB2312" w:cs="宋体"/>
          <w:color w:val="auto"/>
          <w:kern w:val="0"/>
          <w:sz w:val="32"/>
          <w:szCs w:val="32"/>
        </w:rPr>
        <w:t>一般公共预算拨款</w:t>
      </w:r>
      <w:r>
        <w:rPr>
          <w:rFonts w:hint="eastAsia" w:ascii="仿宋_GB2312" w:hAnsi="宋体" w:eastAsia="仿宋_GB2312" w:cs="宋体"/>
          <w:color w:val="auto"/>
          <w:kern w:val="0"/>
          <w:sz w:val="32"/>
          <w:szCs w:val="32"/>
          <w:lang w:eastAsia="zh-CN"/>
        </w:rPr>
        <w:t>合计</w:t>
      </w:r>
      <w:r>
        <w:rPr>
          <w:rFonts w:hint="eastAsia" w:ascii="仿宋_GB2312" w:hAnsi="宋体" w:eastAsia="仿宋_GB2312" w:cs="宋体"/>
          <w:color w:val="auto"/>
          <w:kern w:val="0"/>
          <w:sz w:val="32"/>
          <w:szCs w:val="32"/>
          <w:lang w:val="en-US" w:eastAsia="zh-CN"/>
        </w:rPr>
        <w:t>521.42</w:t>
      </w:r>
      <w:r>
        <w:rPr>
          <w:rFonts w:hint="eastAsia" w:ascii="仿宋_GB2312" w:hAnsi="宋体" w:eastAsia="仿宋_GB2312" w:cs="宋体"/>
          <w:color w:val="auto"/>
          <w:kern w:val="0"/>
          <w:sz w:val="32"/>
          <w:szCs w:val="32"/>
        </w:rPr>
        <w:t>万元，比上年</w:t>
      </w:r>
      <w:r>
        <w:rPr>
          <w:rFonts w:hint="eastAsia" w:ascii="仿宋_GB2312" w:hAnsi="宋体" w:eastAsia="仿宋_GB2312" w:cs="宋体"/>
          <w:color w:val="auto"/>
          <w:kern w:val="0"/>
          <w:sz w:val="32"/>
          <w:szCs w:val="32"/>
          <w:lang w:eastAsia="zh-CN"/>
        </w:rPr>
        <w:t>预算减少</w:t>
      </w:r>
      <w:r>
        <w:rPr>
          <w:rFonts w:hint="eastAsia" w:ascii="仿宋_GB2312" w:hAnsi="宋体" w:eastAsia="仿宋_GB2312" w:cs="宋体"/>
          <w:color w:val="auto"/>
          <w:kern w:val="0"/>
          <w:sz w:val="32"/>
          <w:szCs w:val="32"/>
          <w:lang w:val="en-US" w:eastAsia="zh-CN"/>
        </w:rPr>
        <w:t>48.13</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下降</w:t>
      </w:r>
      <w:r>
        <w:rPr>
          <w:rFonts w:hint="eastAsia" w:ascii="仿宋_GB2312" w:hAnsi="宋体" w:eastAsia="仿宋_GB2312" w:cs="宋体"/>
          <w:color w:val="auto"/>
          <w:kern w:val="0"/>
          <w:sz w:val="32"/>
          <w:szCs w:val="32"/>
          <w:lang w:val="en-US" w:eastAsia="zh-CN"/>
        </w:rPr>
        <w:t>8.45</w:t>
      </w:r>
      <w:r>
        <w:rPr>
          <w:rFonts w:hint="eastAsia"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eastAsia="zh-CN"/>
        </w:rPr>
        <w:t>人员减少</w:t>
      </w:r>
      <w:r>
        <w:rPr>
          <w:rFonts w:hint="eastAsia" w:ascii="仿宋_GB2312" w:hAnsi="宋体" w:eastAsia="仿宋_GB2312" w:cs="宋体"/>
          <w:color w:val="auto"/>
          <w:kern w:val="0"/>
          <w:sz w:val="32"/>
          <w:szCs w:val="32"/>
          <w:lang w:val="en-US" w:eastAsia="zh-CN"/>
        </w:rPr>
        <w:t>3人，人头经费相应减少</w:t>
      </w:r>
      <w:r>
        <w:rPr>
          <w:rFonts w:hint="eastAsia" w:ascii="仿宋_GB2312" w:hAnsi="宋体" w:eastAsia="仿宋_GB2312" w:cs="宋体"/>
          <w:color w:val="auto"/>
          <w:kern w:val="0"/>
          <w:sz w:val="32"/>
          <w:szCs w:val="32"/>
          <w:lang w:eastAsia="zh-CN"/>
        </w:rPr>
        <w:t>。</w:t>
      </w:r>
    </w:p>
    <w:p>
      <w:pPr>
        <w:spacing w:line="560" w:lineRule="exact"/>
        <w:ind w:firstLine="640" w:firstLineChars="200"/>
        <w:rPr>
          <w:rFonts w:ascii="仿宋_GB2312" w:hAnsi="宋体" w:eastAsia="仿宋_GB2312" w:cs="宋体"/>
          <w:b/>
          <w:color w:val="auto"/>
          <w:kern w:val="0"/>
          <w:sz w:val="32"/>
          <w:szCs w:val="32"/>
        </w:rPr>
      </w:pPr>
      <w:r>
        <w:rPr>
          <w:rFonts w:hint="eastAsia" w:ascii="仿宋_GB2312" w:hAnsi="宋体" w:eastAsia="仿宋_GB2312" w:cs="宋体"/>
          <w:color w:val="auto"/>
          <w:kern w:val="0"/>
          <w:sz w:val="32"/>
          <w:szCs w:val="32"/>
        </w:rPr>
        <w:t>基本支出</w:t>
      </w:r>
      <w:r>
        <w:rPr>
          <w:rFonts w:hint="eastAsia" w:ascii="仿宋_GB2312" w:hAnsi="宋体" w:eastAsia="仿宋_GB2312" w:cs="宋体"/>
          <w:color w:val="auto"/>
          <w:kern w:val="0"/>
          <w:sz w:val="32"/>
          <w:szCs w:val="32"/>
          <w:lang w:val="en-US" w:eastAsia="zh-CN"/>
        </w:rPr>
        <w:t>521.42</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94.01</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增加</w:t>
      </w:r>
      <w:r>
        <w:rPr>
          <w:rFonts w:hint="eastAsia" w:ascii="仿宋_GB2312" w:hAnsi="宋体" w:eastAsia="仿宋_GB2312" w:cs="宋体"/>
          <w:color w:val="auto"/>
          <w:kern w:val="0"/>
          <w:sz w:val="32"/>
          <w:szCs w:val="32"/>
          <w:lang w:val="en-US" w:eastAsia="zh-CN"/>
        </w:rPr>
        <w:t>210.13</w:t>
      </w:r>
      <w:r>
        <w:rPr>
          <w:rFonts w:hint="eastAsia" w:ascii="仿宋_GB2312" w:hAnsi="宋体" w:eastAsia="仿宋_GB2312" w:cs="宋体"/>
          <w:color w:val="auto"/>
          <w:kern w:val="0"/>
          <w:sz w:val="32"/>
          <w:szCs w:val="32"/>
        </w:rPr>
        <w:t xml:space="preserve">  万元，主要原因是</w:t>
      </w:r>
      <w:r>
        <w:rPr>
          <w:rFonts w:hint="eastAsia" w:ascii="仿宋_GB2312" w:hAnsi="宋体" w:eastAsia="仿宋_GB2312" w:cs="宋体"/>
          <w:color w:val="auto"/>
          <w:kern w:val="0"/>
          <w:sz w:val="32"/>
          <w:szCs w:val="32"/>
          <w:lang w:eastAsia="zh-CN"/>
        </w:rPr>
        <w:t>人员工资的增加</w:t>
      </w:r>
      <w:r>
        <w:rPr>
          <w:rFonts w:hint="eastAsia" w:ascii="仿宋_GB2312" w:hAnsi="宋体" w:eastAsia="仿宋_GB2312" w:cs="宋体"/>
          <w:color w:val="auto"/>
          <w:kern w:val="0"/>
          <w:sz w:val="32"/>
          <w:szCs w:val="32"/>
        </w:rPr>
        <w:t>。</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项目支出</w:t>
      </w:r>
      <w:r>
        <w:rPr>
          <w:rFonts w:hint="eastAsia" w:ascii="仿宋_GB2312" w:hAnsi="宋体" w:eastAsia="仿宋_GB2312" w:cs="宋体"/>
          <w:color w:val="auto"/>
          <w:kern w:val="0"/>
          <w:sz w:val="32"/>
          <w:szCs w:val="32"/>
          <w:lang w:val="en-US" w:eastAsia="zh-CN"/>
        </w:rPr>
        <w:t>33.2</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5.99</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增加</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万元，主要原因是</w:t>
      </w:r>
      <w:r>
        <w:rPr>
          <w:rFonts w:hint="eastAsia" w:ascii="仿宋_GB2312" w:hAnsi="宋体" w:eastAsia="仿宋_GB2312" w:cs="宋体"/>
          <w:color w:val="auto"/>
          <w:kern w:val="0"/>
          <w:sz w:val="32"/>
          <w:szCs w:val="32"/>
          <w:lang w:eastAsia="zh-CN"/>
        </w:rPr>
        <w:t>项目经费无变化</w:t>
      </w:r>
      <w:r>
        <w:rPr>
          <w:rFonts w:hint="eastAsia" w:ascii="仿宋_GB2312" w:hAnsi="宋体" w:eastAsia="仿宋_GB2312" w:cs="宋体"/>
          <w:color w:val="auto"/>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对个人和家庭的补助</w:t>
      </w:r>
      <w:r>
        <w:rPr>
          <w:rFonts w:hint="eastAsia" w:ascii="仿宋_GB2312" w:eastAsia="仿宋_GB2312"/>
          <w:color w:val="auto"/>
          <w:sz w:val="32"/>
          <w:szCs w:val="32"/>
          <w:lang w:val="en-US" w:eastAsia="zh-CN"/>
        </w:rPr>
        <w:t>205类：2.6</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0.44</w:t>
      </w:r>
      <w:r>
        <w:rPr>
          <w:rFonts w:hint="eastAsia" w:ascii="仿宋_GB2312" w:hAnsi="宋体" w:eastAsia="仿宋_GB2312" w:cs="宋体"/>
          <w:color w:val="auto"/>
          <w:kern w:val="0"/>
          <w:sz w:val="32"/>
          <w:szCs w:val="32"/>
        </w:rPr>
        <w:t>%。</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工资福利支出</w:t>
      </w:r>
      <w:r>
        <w:rPr>
          <w:rFonts w:hint="eastAsia" w:ascii="仿宋_GB2312" w:hAnsi="宋体" w:eastAsia="仿宋_GB2312" w:cs="宋体"/>
          <w:color w:val="auto"/>
          <w:kern w:val="0"/>
          <w:sz w:val="32"/>
          <w:szCs w:val="32"/>
          <w:lang w:val="en-US" w:eastAsia="zh-CN"/>
        </w:rPr>
        <w:t>201类</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535.02万元，其中基本支出518.82万元；项目支出6.2万元；其他商贸事务支出10万元，占99.66%。</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预算拨款（</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13</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2021年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27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color w:val="auto"/>
          <w:kern w:val="0"/>
          <w:sz w:val="32"/>
          <w:szCs w:val="32"/>
          <w:lang w:eastAsia="zh-CN"/>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预算拨款（</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13</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2021年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525.02</w:t>
      </w:r>
      <w:r>
        <w:rPr>
          <w:rFonts w:ascii="仿宋_GB2312" w:hAnsi="宋体" w:eastAsia="仿宋_GB2312" w:cs="宋体"/>
          <w:kern w:val="0"/>
          <w:sz w:val="32"/>
          <w:szCs w:val="32"/>
        </w:rPr>
        <w:t>万元，</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执行数</w:t>
      </w:r>
      <w:r>
        <w:rPr>
          <w:rFonts w:hint="eastAsia" w:ascii="仿宋_GB2312" w:hAnsi="宋体" w:eastAsia="仿宋_GB2312" w:cs="宋体"/>
          <w:color w:val="auto"/>
          <w:kern w:val="0"/>
          <w:sz w:val="32"/>
          <w:szCs w:val="32"/>
          <w:lang w:eastAsia="zh-CN"/>
        </w:rPr>
        <w:t>减少</w:t>
      </w:r>
      <w:r>
        <w:rPr>
          <w:rFonts w:hint="eastAsia" w:ascii="仿宋_GB2312" w:hAnsi="宋体" w:eastAsia="仿宋_GB2312" w:cs="宋体"/>
          <w:color w:val="auto"/>
          <w:kern w:val="0"/>
          <w:sz w:val="32"/>
          <w:szCs w:val="32"/>
          <w:lang w:val="en-US" w:eastAsia="zh-CN"/>
        </w:rPr>
        <w:t>239.73</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下降</w:t>
      </w:r>
      <w:r>
        <w:rPr>
          <w:rFonts w:hint="eastAsia" w:ascii="仿宋_GB2312" w:hAnsi="宋体" w:eastAsia="仿宋_GB2312" w:cs="宋体"/>
          <w:color w:val="auto"/>
          <w:kern w:val="0"/>
          <w:sz w:val="32"/>
          <w:szCs w:val="32"/>
          <w:lang w:val="en-US" w:eastAsia="zh-CN"/>
        </w:rPr>
        <w:t>31.35</w:t>
      </w:r>
      <w:r>
        <w:rPr>
          <w:rFonts w:hint="eastAsia"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eastAsia="zh-CN"/>
        </w:rPr>
        <w:t>减少部分专项经费的追加。</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3、</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预算拨款（</w:t>
      </w:r>
      <w:r>
        <w:rPr>
          <w:rFonts w:hint="eastAsia" w:ascii="仿宋_GB2312" w:hAnsi="宋体" w:eastAsia="仿宋_GB2312" w:cs="宋体"/>
          <w:kern w:val="0"/>
          <w:sz w:val="32"/>
          <w:szCs w:val="32"/>
          <w:lang w:val="en-US" w:eastAsia="zh-CN"/>
        </w:rPr>
        <w:t>205</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02</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2021年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2.6</w:t>
      </w:r>
      <w:r>
        <w:rPr>
          <w:rFonts w:ascii="仿宋_GB2312" w:hAnsi="宋体" w:eastAsia="仿宋_GB2312" w:cs="宋体"/>
          <w:kern w:val="0"/>
          <w:sz w:val="32"/>
          <w:szCs w:val="32"/>
        </w:rPr>
        <w:t>万元，</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执行数增加</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 xml:space="preserve">    万元，增长</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eastAsia="zh-CN"/>
        </w:rPr>
        <w:t>实际情况无变化。</w:t>
      </w:r>
      <w:r>
        <w:rPr>
          <w:rFonts w:hint="eastAsia" w:ascii="仿宋_GB2312" w:hAnsi="宋体" w:eastAsia="仿宋_GB2312" w:cs="宋体"/>
          <w:color w:val="auto"/>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克孜勒苏柯尔克孜自治州工业和信息化局2021年</w:t>
      </w:r>
      <w:r>
        <w:rPr>
          <w:rFonts w:hint="eastAsia" w:ascii="仿宋_GB2312" w:hAnsi="宋体" w:eastAsia="仿宋_GB2312" w:cs="宋体"/>
          <w:kern w:val="0"/>
          <w:sz w:val="32"/>
          <w:szCs w:val="32"/>
        </w:rPr>
        <w:t>一般公共预算基本支出</w:t>
      </w:r>
      <w:r>
        <w:rPr>
          <w:rFonts w:hint="eastAsia" w:ascii="仿宋_GB2312" w:hAnsi="宋体" w:eastAsia="仿宋_GB2312" w:cs="宋体"/>
          <w:kern w:val="0"/>
          <w:sz w:val="32"/>
          <w:szCs w:val="32"/>
          <w:lang w:val="en-US" w:eastAsia="zh-CN"/>
        </w:rPr>
        <w:t>521.42</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495.32</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132.21万元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163.77万元</w:t>
      </w:r>
      <w:r>
        <w:rPr>
          <w:rFonts w:hint="eastAsia" w:ascii="仿宋_GB2312" w:hAnsi="宋体" w:eastAsia="仿宋_GB2312" w:cs="宋体"/>
          <w:kern w:val="0"/>
          <w:sz w:val="32"/>
          <w:szCs w:val="32"/>
        </w:rPr>
        <w:t>、奖</w:t>
      </w:r>
      <w:r>
        <w:rPr>
          <w:rFonts w:hint="default" w:ascii="仿宋_GB2312" w:hAnsi="宋体" w:eastAsia="仿宋_GB2312" w:cs="宋体"/>
          <w:kern w:val="0"/>
          <w:sz w:val="32"/>
          <w:szCs w:val="32"/>
        </w:rPr>
        <w:t>励</w:t>
      </w:r>
      <w:r>
        <w:rPr>
          <w:rFonts w:hint="eastAsia" w:ascii="仿宋_GB2312" w:hAnsi="宋体" w:eastAsia="仿宋_GB2312" w:cs="宋体"/>
          <w:kern w:val="0"/>
          <w:sz w:val="32"/>
          <w:szCs w:val="32"/>
          <w:lang w:val="en-US" w:eastAsia="zh-CN"/>
        </w:rPr>
        <w:t>11.02万元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42.89万元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43.39万元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30.81万元</w:t>
      </w:r>
      <w:r>
        <w:rPr>
          <w:rFonts w:hint="eastAsia" w:ascii="仿宋_GB2312" w:hAnsi="宋体" w:eastAsia="仿宋_GB2312" w:cs="宋体"/>
          <w:kern w:val="0"/>
          <w:sz w:val="32"/>
          <w:szCs w:val="32"/>
        </w:rPr>
        <w:t>、离休费</w:t>
      </w:r>
      <w:r>
        <w:rPr>
          <w:rFonts w:hint="eastAsia" w:ascii="仿宋_GB2312" w:hAnsi="宋体" w:eastAsia="仿宋_GB2312" w:cs="宋体"/>
          <w:kern w:val="0"/>
          <w:sz w:val="32"/>
          <w:szCs w:val="32"/>
          <w:lang w:val="en-US" w:eastAsia="zh-CN"/>
        </w:rPr>
        <w:t>13.3万元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34.32万元</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rPr>
        <w:t>生活补助</w:t>
      </w:r>
      <w:r>
        <w:rPr>
          <w:rFonts w:hint="eastAsia" w:ascii="仿宋_GB2312" w:hAnsi="宋体" w:eastAsia="仿宋_GB2312" w:cs="宋体"/>
          <w:color w:val="auto"/>
          <w:kern w:val="0"/>
          <w:sz w:val="32"/>
          <w:szCs w:val="32"/>
          <w:lang w:val="en-US" w:eastAsia="zh-CN"/>
        </w:rPr>
        <w:t>5.87万元</w:t>
      </w:r>
      <w:r>
        <w:rPr>
          <w:rFonts w:hint="eastAsia" w:ascii="仿宋_GB2312" w:hAnsi="宋体" w:eastAsia="仿宋_GB2312" w:cs="宋体"/>
          <w:color w:val="auto"/>
          <w:kern w:val="0"/>
          <w:sz w:val="32"/>
          <w:szCs w:val="32"/>
        </w:rPr>
        <w:t>、奖励金</w:t>
      </w:r>
      <w:r>
        <w:rPr>
          <w:rFonts w:hint="eastAsia" w:ascii="仿宋_GB2312" w:hAnsi="宋体" w:eastAsia="仿宋_GB2312" w:cs="宋体"/>
          <w:color w:val="auto"/>
          <w:kern w:val="0"/>
          <w:sz w:val="32"/>
          <w:szCs w:val="32"/>
          <w:lang w:val="en-US" w:eastAsia="zh-CN"/>
        </w:rPr>
        <w:t>0.02万元</w:t>
      </w:r>
      <w:r>
        <w:rPr>
          <w:rFonts w:hint="eastAsia" w:ascii="仿宋_GB2312" w:hAnsi="宋体" w:eastAsia="仿宋_GB2312" w:cs="宋体"/>
          <w:color w:val="auto"/>
          <w:kern w:val="0"/>
          <w:sz w:val="32"/>
          <w:szCs w:val="32"/>
        </w:rPr>
        <w:t>、其他对个人和家庭的补助</w:t>
      </w:r>
      <w:r>
        <w:rPr>
          <w:rFonts w:hint="eastAsia" w:ascii="仿宋_GB2312" w:hAnsi="宋体" w:eastAsia="仿宋_GB2312" w:cs="宋体"/>
          <w:color w:val="auto"/>
          <w:kern w:val="0"/>
          <w:sz w:val="32"/>
          <w:szCs w:val="32"/>
          <w:lang w:val="en-US" w:eastAsia="zh-CN"/>
        </w:rPr>
        <w:t>17.72万</w:t>
      </w:r>
      <w:r>
        <w:rPr>
          <w:rFonts w:hint="eastAsia" w:ascii="仿宋_GB2312" w:hAnsi="宋体" w:eastAsia="仿宋_GB2312" w:cs="宋体"/>
          <w:kern w:val="0"/>
          <w:sz w:val="32"/>
          <w:szCs w:val="32"/>
          <w:lang w:val="en-US" w:eastAsia="zh-CN"/>
        </w:rPr>
        <w:t>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26.1</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1.68万元</w:t>
      </w:r>
      <w:r>
        <w:rPr>
          <w:rFonts w:hint="eastAsia" w:ascii="仿宋_GB2312" w:hAnsi="宋体" w:eastAsia="仿宋_GB2312" w:cs="宋体"/>
          <w:kern w:val="0"/>
          <w:sz w:val="32"/>
          <w:szCs w:val="32"/>
        </w:rPr>
        <w:t>、电</w:t>
      </w:r>
      <w:bookmarkStart w:id="0" w:name="_GoBack"/>
      <w:bookmarkEnd w:id="0"/>
      <w:r>
        <w:rPr>
          <w:rFonts w:hint="eastAsia" w:ascii="仿宋_GB2312" w:hAnsi="宋体" w:eastAsia="仿宋_GB2312" w:cs="宋体"/>
          <w:kern w:val="0"/>
          <w:sz w:val="32"/>
          <w:szCs w:val="32"/>
        </w:rPr>
        <w:t>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3.5万元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3万元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1.86万元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3.34万元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7万元</w:t>
      </w:r>
      <w:r>
        <w:rPr>
          <w:rFonts w:hint="eastAsia" w:ascii="仿宋_GB2312" w:hAnsi="宋体" w:eastAsia="仿宋_GB2312" w:cs="宋体"/>
          <w:kern w:val="0"/>
          <w:sz w:val="32"/>
          <w:szCs w:val="32"/>
        </w:rPr>
        <w:t>、办公用品及设备采购</w:t>
      </w:r>
      <w:r>
        <w:rPr>
          <w:rFonts w:hint="eastAsia" w:ascii="仿宋_GB2312" w:hAnsi="宋体" w:eastAsia="仿宋_GB2312" w:cs="宋体"/>
          <w:kern w:val="0"/>
          <w:sz w:val="32"/>
          <w:szCs w:val="32"/>
          <w:lang w:val="en-US" w:eastAsia="zh-CN"/>
        </w:rPr>
        <w:t>2.32万元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numPr>
          <w:ilvl w:val="0"/>
          <w:numId w:val="0"/>
        </w:numPr>
        <w:spacing w:line="560" w:lineRule="exact"/>
        <w:ind w:firstLine="1280" w:firstLineChars="4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群众工作经费</w:t>
      </w:r>
    </w:p>
    <w:p>
      <w:pPr>
        <w:spacing w:line="560" w:lineRule="exact"/>
        <w:ind w:firstLine="1280" w:firstLineChars="4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州委统一安排部署</w:t>
      </w:r>
    </w:p>
    <w:p>
      <w:pPr>
        <w:spacing w:line="560" w:lineRule="exact"/>
        <w:ind w:firstLine="1280" w:firstLineChars="4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全州</w:t>
      </w:r>
    </w:p>
    <w:p>
      <w:pPr>
        <w:spacing w:line="560" w:lineRule="exact"/>
        <w:ind w:firstLine="1280" w:firstLineChars="400"/>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克孜勒苏柯尔克孜自治州工业和信息化局</w:t>
      </w:r>
    </w:p>
    <w:p>
      <w:pPr>
        <w:spacing w:line="560" w:lineRule="exact"/>
        <w:ind w:firstLine="1280" w:firstLineChars="4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10万/年</w:t>
      </w:r>
    </w:p>
    <w:p>
      <w:pPr>
        <w:spacing w:line="560" w:lineRule="exact"/>
        <w:ind w:firstLine="1280" w:firstLineChars="4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2021年1月-12月</w:t>
      </w:r>
    </w:p>
    <w:p>
      <w:pPr>
        <w:spacing w:line="560" w:lineRule="exact"/>
        <w:ind w:firstLine="640" w:firstLineChars="200"/>
        <w:rPr>
          <w:rFonts w:hint="default" w:ascii="仿宋_GB2312" w:hAnsi="宋体" w:eastAsia="仿宋_GB2312" w:cs="宋体"/>
          <w:kern w:val="0"/>
          <w:sz w:val="32"/>
          <w:szCs w:val="32"/>
          <w:lang w:val="en-US" w:eastAsia="zh-CN"/>
        </w:rPr>
      </w:pP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农机精简厂工资及医保</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州政府安排部署</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本局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克孜勒苏柯尔克孜自治州工业和信息化局</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6.2万</w:t>
      </w:r>
    </w:p>
    <w:p>
      <w:pPr>
        <w:spacing w:line="560" w:lineRule="exact"/>
        <w:ind w:firstLine="640" w:firstLineChars="200"/>
        <w:rPr>
          <w:rFonts w:hint="default"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2021年1月至12月</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财政拨款</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3人</w:t>
      </w:r>
    </w:p>
    <w:p>
      <w:pPr>
        <w:spacing w:line="560" w:lineRule="exact"/>
        <w:ind w:firstLine="640" w:firstLineChars="200"/>
        <w:rPr>
          <w:rFonts w:hint="default" w:ascii="仿宋_GB2312" w:hAnsi="宋体" w:eastAsia="仿宋_GB2312"/>
          <w:sz w:val="32"/>
          <w:szCs w:val="22"/>
          <w:lang w:val="en-US"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工资</w:t>
      </w:r>
      <w:r>
        <w:rPr>
          <w:rFonts w:hint="eastAsia" w:ascii="仿宋_GB2312" w:hAnsi="宋体" w:eastAsia="仿宋_GB2312" w:cs="宋体"/>
          <w:kern w:val="0"/>
          <w:sz w:val="32"/>
          <w:szCs w:val="32"/>
          <w:lang w:val="en-US" w:eastAsia="zh-CN"/>
        </w:rPr>
        <w:t>3606.11/月；医保约1300元/月</w:t>
      </w:r>
    </w:p>
    <w:p>
      <w:pPr>
        <w:spacing w:line="560" w:lineRule="exact"/>
        <w:ind w:firstLine="640" w:firstLineChars="200"/>
        <w:rPr>
          <w:rFonts w:hint="default" w:ascii="仿宋_GB2312" w:hAnsi="宋体" w:eastAsia="仿宋_GB2312"/>
          <w:sz w:val="32"/>
          <w:szCs w:val="22"/>
          <w:lang w:val="en-US"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企业退休</w:t>
      </w:r>
      <w:r>
        <w:rPr>
          <w:rFonts w:hint="eastAsia" w:ascii="仿宋_GB2312" w:hAnsi="宋体" w:eastAsia="仿宋_GB2312" w:cs="宋体"/>
          <w:kern w:val="0"/>
          <w:sz w:val="32"/>
          <w:szCs w:val="32"/>
          <w:lang w:val="en-US" w:eastAsia="zh-CN"/>
        </w:rPr>
        <w:t>3人</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转账</w:t>
      </w:r>
    </w:p>
    <w:p>
      <w:pPr>
        <w:spacing w:line="560" w:lineRule="exact"/>
        <w:ind w:firstLine="640" w:firstLineChars="200"/>
        <w:rPr>
          <w:rFonts w:hint="eastAsia" w:ascii="仿宋_GB2312" w:hAnsi="宋体" w:eastAsia="仿宋_GB2312"/>
          <w:sz w:val="32"/>
          <w:szCs w:val="2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每月按时发放</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3人；解决破产企业职工退休待遇，保持社会稳定。</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克孜勒苏柯尔克孜自治州工业和信息化局2021年</w:t>
      </w:r>
      <w:r>
        <w:rPr>
          <w:rFonts w:hint="eastAsia" w:ascii="仿宋_GB2312" w:hAnsi="宋体" w:eastAsia="仿宋_GB2312" w:cs="宋体"/>
          <w:kern w:val="0"/>
          <w:sz w:val="32"/>
          <w:szCs w:val="32"/>
        </w:rPr>
        <w:t>一般公共预算“三公”经费数为</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一般公共预算“三公”经费比上年增加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；公务用车购置费为0，未安排预算。公务用车运行费增加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厉行节约，减少碳排放量</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政府部门带头过紧日子，减少不必要的接待</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克孜勒苏柯尔克孜自治州工业和信息化局2021年</w:t>
      </w:r>
      <w:r>
        <w:rPr>
          <w:rFonts w:hint="eastAsia" w:ascii="黑体" w:hAnsi="宋体" w:eastAsia="黑体" w:cs="宋体"/>
          <w:kern w:val="0"/>
          <w:sz w:val="32"/>
          <w:szCs w:val="32"/>
        </w:rPr>
        <w:t>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克孜勒苏柯尔克孜自治州工业和信息化局2021年</w:t>
      </w:r>
      <w:r>
        <w:rPr>
          <w:rFonts w:hint="eastAsia" w:ascii="仿宋_GB2312" w:hAnsi="宋体" w:eastAsia="仿宋_GB2312" w:cs="宋体"/>
          <w:kern w:val="0"/>
          <w:sz w:val="32"/>
          <w:szCs w:val="32"/>
        </w:rPr>
        <w:t>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lang w:eastAsia="zh-CN"/>
        </w:rPr>
        <w:t>克孜勒苏柯尔克孜自治州工业和信息化局</w:t>
      </w:r>
      <w:r>
        <w:rPr>
          <w:rFonts w:hint="eastAsia" w:ascii="仿宋_GB2312" w:hAnsi="宋体" w:eastAsia="仿宋_GB2312" w:cs="宋体"/>
          <w:color w:val="auto"/>
          <w:kern w:val="0"/>
          <w:sz w:val="32"/>
          <w:szCs w:val="32"/>
        </w:rPr>
        <w:t>本级</w:t>
      </w:r>
      <w:r>
        <w:rPr>
          <w:rFonts w:hint="eastAsia" w:ascii="仿宋_GB2312" w:hAnsi="宋体" w:eastAsia="仿宋_GB2312" w:cs="宋体"/>
          <w:kern w:val="0"/>
          <w:sz w:val="32"/>
          <w:szCs w:val="32"/>
        </w:rPr>
        <w:t>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w:t>
      </w:r>
      <w:r>
        <w:rPr>
          <w:rFonts w:hint="eastAsia" w:ascii="仿宋_GB2312" w:hAnsi="宋体" w:eastAsia="仿宋_GB2312" w:cs="宋体"/>
          <w:color w:val="auto"/>
          <w:kern w:val="0"/>
          <w:sz w:val="32"/>
          <w:szCs w:val="32"/>
        </w:rPr>
        <w:t>机关运行经费财政拨款预算</w:t>
      </w:r>
      <w:r>
        <w:rPr>
          <w:rFonts w:hint="eastAsia" w:ascii="仿宋_GB2312" w:hAnsi="宋体" w:eastAsia="仿宋_GB2312" w:cs="宋体"/>
          <w:color w:val="auto"/>
          <w:kern w:val="0"/>
          <w:sz w:val="32"/>
          <w:szCs w:val="32"/>
          <w:lang w:val="en-US" w:eastAsia="zh-CN"/>
        </w:rPr>
        <w:t>26.1</w:t>
      </w:r>
      <w:r>
        <w:rPr>
          <w:rFonts w:hint="eastAsia" w:ascii="仿宋_GB2312" w:hAnsi="宋体" w:eastAsia="仿宋_GB2312" w:cs="宋体"/>
          <w:color w:val="auto"/>
          <w:kern w:val="0"/>
          <w:sz w:val="32"/>
          <w:szCs w:val="32"/>
        </w:rPr>
        <w:t>万元，比上年预算减少</w:t>
      </w:r>
      <w:r>
        <w:rPr>
          <w:rFonts w:hint="eastAsia" w:ascii="仿宋_GB2312" w:hAnsi="宋体" w:eastAsia="仿宋_GB2312" w:cs="宋体"/>
          <w:color w:val="auto"/>
          <w:kern w:val="0"/>
          <w:sz w:val="32"/>
          <w:szCs w:val="32"/>
          <w:lang w:val="en-US" w:eastAsia="zh-CN"/>
        </w:rPr>
        <w:t>9.94</w:t>
      </w:r>
      <w:r>
        <w:rPr>
          <w:rFonts w:hint="eastAsia" w:ascii="仿宋_GB2312" w:hAnsi="宋体" w:eastAsia="仿宋_GB2312" w:cs="宋体"/>
          <w:color w:val="auto"/>
          <w:kern w:val="0"/>
          <w:sz w:val="32"/>
          <w:szCs w:val="32"/>
        </w:rPr>
        <w:t>万元，下降</w:t>
      </w:r>
      <w:r>
        <w:rPr>
          <w:rFonts w:hint="eastAsia" w:ascii="仿宋_GB2312" w:hAnsi="宋体" w:eastAsia="仿宋_GB2312" w:cs="宋体"/>
          <w:color w:val="auto"/>
          <w:kern w:val="0"/>
          <w:sz w:val="32"/>
          <w:szCs w:val="32"/>
          <w:lang w:val="en-US" w:eastAsia="zh-CN"/>
        </w:rPr>
        <w:t>27.58</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主要原因是</w:t>
      </w:r>
      <w:r>
        <w:rPr>
          <w:rFonts w:hint="eastAsia" w:ascii="仿宋_GB2312" w:hAnsi="宋体" w:eastAsia="仿宋_GB2312" w:cs="宋体"/>
          <w:color w:val="auto"/>
          <w:kern w:val="0"/>
          <w:sz w:val="32"/>
          <w:szCs w:val="32"/>
          <w:lang w:eastAsia="zh-CN"/>
        </w:rPr>
        <w:t>人员减少</w:t>
      </w:r>
      <w:r>
        <w:rPr>
          <w:rFonts w:hint="eastAsia" w:ascii="仿宋_GB2312" w:hAnsi="宋体" w:eastAsia="仿宋_GB2312" w:cs="宋体"/>
          <w:color w:val="auto"/>
          <w:kern w:val="0"/>
          <w:sz w:val="32"/>
          <w:szCs w:val="32"/>
          <w:lang w:val="en-US" w:eastAsia="zh-CN"/>
        </w:rPr>
        <w:t>3人，人头经费相应减少</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克孜勒苏柯尔克孜自治州工业和信息化局</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19.4</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17.4</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2021年</w:t>
      </w:r>
      <w:r>
        <w:rPr>
          <w:rFonts w:hint="eastAsia" w:ascii="仿宋_GB2312" w:hAnsi="仿宋_GB2312" w:eastAsia="仿宋_GB2312"/>
          <w:sz w:val="32"/>
        </w:rPr>
        <w:t>度本</w:t>
      </w:r>
      <w:r>
        <w:rPr>
          <w:rFonts w:hint="eastAsia" w:ascii="仿宋_GB2312" w:hAnsi="仿宋_GB2312" w:eastAsia="仿宋_GB2312"/>
          <w:sz w:val="32"/>
          <w:lang w:eastAsia="zh-CN"/>
        </w:rPr>
        <w:t>克孜勒苏柯尔克孜自治州工业和信息化局</w:t>
      </w:r>
      <w:r>
        <w:rPr>
          <w:rFonts w:hint="eastAsia" w:ascii="仿宋_GB2312" w:hAnsi="仿宋_GB2312" w:eastAsia="仿宋_GB2312"/>
          <w:sz w:val="32"/>
        </w:rPr>
        <w:t>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克孜勒苏柯尔克孜自治州工业和信息化局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1522</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51.4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105.32</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105.32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25.1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173.85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2021年克孜勒苏柯尔克孜自治州工业和信息化局</w:t>
      </w:r>
      <w:r>
        <w:rPr>
          <w:rFonts w:hint="eastAsia" w:ascii="仿宋_GB2312" w:hAnsi="宋体" w:eastAsia="仿宋_GB2312" w:cs="宋体"/>
          <w:kern w:val="0"/>
          <w:sz w:val="32"/>
          <w:szCs w:val="32"/>
        </w:rPr>
        <w:t>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 xml:space="preserve">度，本年度实行绩效管理的一般公共预算项目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16.2</w:t>
      </w:r>
      <w:r>
        <w:rPr>
          <w:rFonts w:hint="eastAsia" w:ascii="仿宋_GB2312" w:hAnsi="宋体" w:eastAsia="仿宋_GB2312" w:cs="宋体"/>
          <w:kern w:val="0"/>
          <w:sz w:val="32"/>
          <w:szCs w:val="32"/>
        </w:rPr>
        <w:t>万元。具体情况见下表（按项目分别填报）：</w:t>
      </w:r>
    </w:p>
    <w:p>
      <w:pPr>
        <w:bidi w:val="0"/>
        <w:jc w:val="both"/>
        <w:rPr>
          <w:lang w:val="en-US" w:eastAsia="zh-CN"/>
        </w:rPr>
      </w:pPr>
    </w:p>
    <w:tbl>
      <w:tblPr>
        <w:tblStyle w:val="3"/>
        <w:tblW w:w="9165" w:type="dxa"/>
        <w:tblInd w:w="0" w:type="dxa"/>
        <w:shd w:val="clear" w:color="auto" w:fill="auto"/>
        <w:tblLayout w:type="autofit"/>
        <w:tblCellMar>
          <w:top w:w="0" w:type="dxa"/>
          <w:left w:w="0" w:type="dxa"/>
          <w:bottom w:w="0" w:type="dxa"/>
          <w:right w:w="0" w:type="dxa"/>
        </w:tblCellMar>
      </w:tblPr>
      <w:tblGrid>
        <w:gridCol w:w="615"/>
        <w:gridCol w:w="900"/>
        <w:gridCol w:w="1770"/>
        <w:gridCol w:w="3810"/>
        <w:gridCol w:w="690"/>
        <w:gridCol w:w="690"/>
        <w:gridCol w:w="690"/>
      </w:tblGrid>
      <w:tr>
        <w:tblPrEx>
          <w:shd w:val="clear" w:color="auto" w:fill="auto"/>
          <w:tblCellMar>
            <w:top w:w="0" w:type="dxa"/>
            <w:left w:w="0" w:type="dxa"/>
            <w:bottom w:w="0" w:type="dxa"/>
            <w:right w:w="0" w:type="dxa"/>
          </w:tblCellMar>
        </w:tblPrEx>
        <w:trPr>
          <w:trHeight w:val="480" w:hRule="atLeast"/>
        </w:trPr>
        <w:tc>
          <w:tcPr>
            <w:tcW w:w="916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部门预算项目支出绩效目标表</w:t>
            </w:r>
          </w:p>
        </w:tc>
      </w:tr>
      <w:tr>
        <w:tblPrEx>
          <w:tblCellMar>
            <w:top w:w="0" w:type="dxa"/>
            <w:left w:w="0" w:type="dxa"/>
            <w:bottom w:w="0" w:type="dxa"/>
            <w:right w:w="0" w:type="dxa"/>
          </w:tblCellMar>
        </w:tblPrEx>
        <w:trPr>
          <w:trHeight w:val="285" w:hRule="atLeast"/>
        </w:trPr>
        <w:tc>
          <w:tcPr>
            <w:tcW w:w="916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（2021年度）</w:t>
            </w:r>
          </w:p>
        </w:tc>
      </w:tr>
      <w:tr>
        <w:tblPrEx>
          <w:tblCellMar>
            <w:top w:w="0" w:type="dxa"/>
            <w:left w:w="0" w:type="dxa"/>
            <w:bottom w:w="0" w:type="dxa"/>
            <w:right w:w="0" w:type="dxa"/>
          </w:tblCellMar>
        </w:tblPrEx>
        <w:trPr>
          <w:trHeight w:val="435" w:hRule="atLeast"/>
        </w:trPr>
        <w:tc>
          <w:tcPr>
            <w:tcW w:w="61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81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328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58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群众工作经费</w:t>
            </w:r>
          </w:p>
        </w:tc>
      </w:tr>
      <w:tr>
        <w:tblPrEx>
          <w:tblCellMar>
            <w:top w:w="0" w:type="dxa"/>
            <w:left w:w="0" w:type="dxa"/>
            <w:bottom w:w="0" w:type="dxa"/>
            <w:right w:w="0" w:type="dxa"/>
          </w:tblCellMar>
        </w:tblPrEx>
        <w:trPr>
          <w:trHeight w:val="499" w:hRule="atLeast"/>
        </w:trPr>
        <w:tc>
          <w:tcPr>
            <w:tcW w:w="328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w:t>
            </w:r>
          </w:p>
        </w:tc>
        <w:tc>
          <w:tcPr>
            <w:tcW w:w="58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克孜勒苏柯尔克孜自治州工业和信息化局</w:t>
            </w:r>
          </w:p>
        </w:tc>
      </w:tr>
      <w:tr>
        <w:tblPrEx>
          <w:tblCellMar>
            <w:top w:w="0" w:type="dxa"/>
            <w:left w:w="0" w:type="dxa"/>
            <w:bottom w:w="0" w:type="dxa"/>
            <w:right w:w="0" w:type="dxa"/>
          </w:tblCellMar>
        </w:tblPrEx>
        <w:trPr>
          <w:trHeight w:val="499" w:hRule="atLeast"/>
        </w:trPr>
        <w:tc>
          <w:tcPr>
            <w:tcW w:w="32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58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年度资金总额：10</w:t>
            </w:r>
          </w:p>
        </w:tc>
      </w:tr>
      <w:tr>
        <w:tblPrEx>
          <w:tblCellMar>
            <w:top w:w="0" w:type="dxa"/>
            <w:left w:w="0" w:type="dxa"/>
            <w:bottom w:w="0" w:type="dxa"/>
            <w:right w:w="0" w:type="dxa"/>
          </w:tblCellMar>
        </w:tblPrEx>
        <w:trPr>
          <w:trHeight w:val="499"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其中：财政拨款：10</w:t>
            </w:r>
          </w:p>
        </w:tc>
      </w:tr>
      <w:tr>
        <w:tblPrEx>
          <w:tblCellMar>
            <w:top w:w="0" w:type="dxa"/>
            <w:left w:w="0" w:type="dxa"/>
            <w:bottom w:w="0" w:type="dxa"/>
            <w:right w:w="0" w:type="dxa"/>
          </w:tblCellMar>
        </w:tblPrEx>
        <w:trPr>
          <w:trHeight w:val="499"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r>
      <w:tr>
        <w:tblPrEx>
          <w:tblCellMar>
            <w:top w:w="0" w:type="dxa"/>
            <w:left w:w="0" w:type="dxa"/>
            <w:bottom w:w="0" w:type="dxa"/>
            <w:right w:w="0" w:type="dxa"/>
          </w:tblCellMar>
        </w:tblPrEx>
        <w:trPr>
          <w:trHeight w:val="499"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855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1062"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该项目资金用于保障访惠聚工作队在驻村工作期间产生的办公费，活动费。通过该项目的实施，使得群众工作能够顺开展，确保工作队在开展各项任务的办公必需品，开展民族团结一家亲活动的基本保障。</w:t>
            </w:r>
          </w:p>
        </w:tc>
      </w:tr>
      <w:tr>
        <w:tblPrEx>
          <w:tblCellMar>
            <w:top w:w="0" w:type="dxa"/>
            <w:left w:w="0" w:type="dxa"/>
            <w:bottom w:w="0" w:type="dxa"/>
            <w:right w:w="0" w:type="dxa"/>
          </w:tblCellMar>
        </w:tblPrEx>
        <w:trPr>
          <w:trHeight w:val="499"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指标值（包含数字及文字描述）</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开展活动次数（次）</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办公用品结算</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资金使用合规率（%）</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活动参与率（%）</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资金拨付及时率（%）</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活动经费（万元）</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办公经费（万元）</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项目效益</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提高就业率，促进脱贫</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有效提高</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保障日常工作需要</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有效保障</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丰富农民文化生活，提高农民素质</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效果显著</w:t>
            </w:r>
          </w:p>
        </w:tc>
      </w:tr>
      <w:tr>
        <w:tblPrEx>
          <w:tblCellMar>
            <w:top w:w="0" w:type="dxa"/>
            <w:left w:w="0" w:type="dxa"/>
            <w:bottom w:w="0" w:type="dxa"/>
            <w:right w:w="0" w:type="dxa"/>
          </w:tblCellMar>
        </w:tblPrEx>
        <w:trPr>
          <w:trHeight w:val="49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受益群众满意度（%）</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r>
    </w:tbl>
    <w:p>
      <w:pPr>
        <w:bidi w:val="0"/>
        <w:jc w:val="both"/>
        <w:rPr>
          <w:lang w:val="en-US" w:eastAsia="zh-CN"/>
        </w:rPr>
      </w:pPr>
    </w:p>
    <w:tbl>
      <w:tblPr>
        <w:tblStyle w:val="3"/>
        <w:tblpPr w:leftFromText="180" w:rightFromText="180" w:vertAnchor="text" w:horzAnchor="page" w:tblpX="1196" w:tblpY="344"/>
        <w:tblOverlap w:val="never"/>
        <w:tblW w:w="9855" w:type="dxa"/>
        <w:tblInd w:w="0" w:type="dxa"/>
        <w:shd w:val="clear" w:color="auto" w:fill="auto"/>
        <w:tblLayout w:type="autofit"/>
        <w:tblCellMar>
          <w:top w:w="0" w:type="dxa"/>
          <w:left w:w="108" w:type="dxa"/>
          <w:bottom w:w="0" w:type="dxa"/>
          <w:right w:w="108" w:type="dxa"/>
        </w:tblCellMar>
      </w:tblPr>
      <w:tblGrid>
        <w:gridCol w:w="615"/>
        <w:gridCol w:w="1306"/>
        <w:gridCol w:w="2265"/>
        <w:gridCol w:w="3179"/>
        <w:gridCol w:w="990"/>
        <w:gridCol w:w="1020"/>
        <w:gridCol w:w="480"/>
      </w:tblGrid>
      <w:tr>
        <w:tblPrEx>
          <w:shd w:val="clear" w:color="auto" w:fill="auto"/>
          <w:tblCellMar>
            <w:top w:w="0" w:type="dxa"/>
            <w:left w:w="108" w:type="dxa"/>
            <w:bottom w:w="0" w:type="dxa"/>
            <w:right w:w="108" w:type="dxa"/>
          </w:tblCellMar>
        </w:tblPrEx>
        <w:trPr>
          <w:trHeight w:val="480" w:hRule="atLeast"/>
        </w:trPr>
        <w:tc>
          <w:tcPr>
            <w:tcW w:w="985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部门预算项目支出绩效目标表</w:t>
            </w:r>
          </w:p>
        </w:tc>
      </w:tr>
      <w:tr>
        <w:tblPrEx>
          <w:tblCellMar>
            <w:top w:w="0" w:type="dxa"/>
            <w:left w:w="108" w:type="dxa"/>
            <w:bottom w:w="0" w:type="dxa"/>
            <w:right w:w="108" w:type="dxa"/>
          </w:tblCellMar>
        </w:tblPrEx>
        <w:trPr>
          <w:trHeight w:val="285" w:hRule="atLeast"/>
        </w:trPr>
        <w:tc>
          <w:tcPr>
            <w:tcW w:w="985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CellMar>
            <w:top w:w="0" w:type="dxa"/>
            <w:left w:w="108" w:type="dxa"/>
            <w:bottom w:w="0" w:type="dxa"/>
            <w:right w:w="108" w:type="dxa"/>
          </w:tblCellMar>
        </w:tblPrEx>
        <w:trPr>
          <w:trHeight w:val="435" w:hRule="atLeast"/>
        </w:trPr>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0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2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1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0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4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418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农机精简厂1人工资和2人医保</w:t>
            </w:r>
          </w:p>
        </w:tc>
      </w:tr>
      <w:tr>
        <w:tblPrEx>
          <w:tblCellMar>
            <w:top w:w="0" w:type="dxa"/>
            <w:left w:w="108" w:type="dxa"/>
            <w:bottom w:w="0" w:type="dxa"/>
            <w:right w:w="108" w:type="dxa"/>
          </w:tblCellMar>
        </w:tblPrEx>
        <w:trPr>
          <w:trHeight w:val="499" w:hRule="atLeast"/>
        </w:trPr>
        <w:tc>
          <w:tcPr>
            <w:tcW w:w="418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克孜勒苏柯尔克孜自治州工业和信息化局</w:t>
            </w:r>
          </w:p>
        </w:tc>
      </w:tr>
      <w:tr>
        <w:tblPrEx>
          <w:tblCellMar>
            <w:top w:w="0" w:type="dxa"/>
            <w:left w:w="108" w:type="dxa"/>
            <w:bottom w:w="0" w:type="dxa"/>
            <w:right w:w="108" w:type="dxa"/>
          </w:tblCellMar>
        </w:tblPrEx>
        <w:trPr>
          <w:trHeight w:val="499" w:hRule="atLeast"/>
        </w:trPr>
        <w:tc>
          <w:tcPr>
            <w:tcW w:w="418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年度资金总额：6.2</w:t>
            </w:r>
          </w:p>
        </w:tc>
      </w:tr>
      <w:tr>
        <w:tblPrEx>
          <w:tblCellMar>
            <w:top w:w="0" w:type="dxa"/>
            <w:left w:w="108" w:type="dxa"/>
            <w:bottom w:w="0" w:type="dxa"/>
            <w:right w:w="108" w:type="dxa"/>
          </w:tblCellMar>
        </w:tblPrEx>
        <w:trPr>
          <w:trHeight w:val="499" w:hRule="atLeast"/>
        </w:trPr>
        <w:tc>
          <w:tcPr>
            <w:tcW w:w="41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其中：财政拨款：6.2</w:t>
            </w:r>
          </w:p>
        </w:tc>
      </w:tr>
      <w:tr>
        <w:tblPrEx>
          <w:tblCellMar>
            <w:top w:w="0" w:type="dxa"/>
            <w:left w:w="108" w:type="dxa"/>
            <w:bottom w:w="0" w:type="dxa"/>
            <w:right w:w="108" w:type="dxa"/>
          </w:tblCellMar>
        </w:tblPrEx>
        <w:trPr>
          <w:trHeight w:val="499" w:hRule="atLeast"/>
        </w:trPr>
        <w:tc>
          <w:tcPr>
            <w:tcW w:w="41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r>
      <w:tr>
        <w:tblPrEx>
          <w:tblCellMar>
            <w:top w:w="0" w:type="dxa"/>
            <w:left w:w="108" w:type="dxa"/>
            <w:bottom w:w="0" w:type="dxa"/>
            <w:right w:w="108" w:type="dxa"/>
          </w:tblCellMar>
        </w:tblPrEx>
        <w:trPr>
          <w:trHeight w:val="499"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2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CellMar>
            <w:top w:w="0" w:type="dxa"/>
            <w:left w:w="108" w:type="dxa"/>
            <w:bottom w:w="0" w:type="dxa"/>
            <w:right w:w="108" w:type="dxa"/>
          </w:tblCellMar>
        </w:tblPrEx>
        <w:trPr>
          <w:trHeight w:val="106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42"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该项目资金用于破产企业农机精简厂职工阿不拉·阿吉退休养老金和取暖费，以及和克州一建退休人员2人的医疗保险金。通过该项目的实施，解决了企业退休人员的养老看病问题，缓解社会不稳定因素。</w:t>
            </w:r>
          </w:p>
        </w:tc>
      </w:tr>
      <w:tr>
        <w:tblPrEx>
          <w:tblCellMar>
            <w:top w:w="0" w:type="dxa"/>
            <w:left w:w="108" w:type="dxa"/>
            <w:bottom w:w="0" w:type="dxa"/>
            <w:right w:w="108" w:type="dxa"/>
          </w:tblCellMar>
        </w:tblPrEx>
        <w:trPr>
          <w:trHeight w:val="499"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指标值（包含数字及文字描述）</w:t>
            </w:r>
          </w:p>
        </w:tc>
      </w:tr>
      <w:tr>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保障人员人数（人）</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资金使用合规率（%）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医保缴纳及时率（%）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项目支出（万元）</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项目效益</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减轻退休人员生活压力</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有效减轻</w:t>
            </w: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保障日常需要</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有效保障</w:t>
            </w: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受益群众满意度</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Pr>
        <w:bidi w:val="0"/>
        <w:jc w:val="left"/>
        <w:rPr>
          <w:lang w:val="en-US" w:eastAsia="zh-CN"/>
        </w:rPr>
      </w:pPr>
    </w:p>
    <w:p>
      <w:pPr>
        <w:tabs>
          <w:tab w:val="left" w:pos="993"/>
        </w:tabs>
        <w:bidi w:val="0"/>
        <w:jc w:val="left"/>
        <w:rPr>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24"/>
          <w:cols w:space="720" w:num="1"/>
          <w:docGrid w:type="lines" w:linePitch="312" w:charSpace="0"/>
        </w:sectPr>
      </w:pPr>
    </w:p>
    <w:p>
      <w:pPr>
        <w:widowControl/>
        <w:spacing w:line="48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before="217" w:beforeLines="50" w:line="520" w:lineRule="exact"/>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克孜勒苏柯尔克孜自治州工业和信息化局无其他需说明的事项。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lang w:eastAsia="zh-CN"/>
        </w:rPr>
        <w:t>克孜勒苏柯尔克孜自治州工业和信息化局</w:t>
      </w:r>
      <w:r>
        <w:rPr>
          <w:rFonts w:hint="eastAsia" w:ascii="仿宋_GB2312" w:eastAsia="仿宋_GB2312"/>
          <w:sz w:val="32"/>
          <w:szCs w:val="32"/>
        </w:rPr>
        <w:t>支出预算的组成部分，是自治区本级</w:t>
      </w:r>
      <w:r>
        <w:rPr>
          <w:rFonts w:hint="eastAsia" w:ascii="仿宋_GB2312" w:eastAsia="仿宋_GB2312"/>
          <w:sz w:val="32"/>
          <w:szCs w:val="32"/>
          <w:lang w:eastAsia="zh-CN"/>
        </w:rPr>
        <w:t>克孜勒苏柯尔克孜自治州工业和信息化局</w:t>
      </w:r>
      <w:r>
        <w:rPr>
          <w:rFonts w:hint="eastAsia" w:ascii="仿宋_GB2312" w:eastAsia="仿宋_GB2312"/>
          <w:sz w:val="32"/>
          <w:szCs w:val="32"/>
        </w:rPr>
        <w:t>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w:t>
      </w:r>
      <w:r>
        <w:rPr>
          <w:rFonts w:hint="eastAsia" w:ascii="仿宋_GB2312" w:eastAsia="仿宋_GB2312"/>
          <w:sz w:val="32"/>
          <w:szCs w:val="32"/>
          <w:lang w:eastAsia="zh-CN"/>
        </w:rPr>
        <w:t>克孜勒苏柯尔克孜自治州工业和信息化局</w:t>
      </w:r>
      <w:r>
        <w:rPr>
          <w:rFonts w:hint="eastAsia" w:ascii="仿宋_GB2312" w:eastAsia="仿宋_GB2312"/>
          <w:sz w:val="32"/>
          <w:szCs w:val="32"/>
        </w:rPr>
        <w:t>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w:t>
      </w:r>
      <w:r>
        <w:rPr>
          <w:rFonts w:hint="eastAsia" w:ascii="仿宋_GB2312" w:eastAsia="仿宋_GB2312"/>
          <w:sz w:val="32"/>
          <w:szCs w:val="32"/>
          <w:lang w:eastAsia="zh-CN"/>
        </w:rPr>
        <w:t>克孜勒苏柯尔克孜自治州工业和信息化局</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克孜勒苏柯尔克孜自治州工业和信息化局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4FE1"/>
    <w:rsid w:val="04C43913"/>
    <w:rsid w:val="07A56DCC"/>
    <w:rsid w:val="0C517621"/>
    <w:rsid w:val="0E293EA2"/>
    <w:rsid w:val="170835C6"/>
    <w:rsid w:val="1C0270B7"/>
    <w:rsid w:val="215B515C"/>
    <w:rsid w:val="2DE57EF7"/>
    <w:rsid w:val="300723BC"/>
    <w:rsid w:val="353E1169"/>
    <w:rsid w:val="354F4711"/>
    <w:rsid w:val="38FB48F6"/>
    <w:rsid w:val="428E13BF"/>
    <w:rsid w:val="465D2F0C"/>
    <w:rsid w:val="46653EB1"/>
    <w:rsid w:val="472C1F09"/>
    <w:rsid w:val="4B483711"/>
    <w:rsid w:val="55A462D0"/>
    <w:rsid w:val="5B2F3597"/>
    <w:rsid w:val="5D892B06"/>
    <w:rsid w:val="60017FC1"/>
    <w:rsid w:val="694B69FE"/>
    <w:rsid w:val="6BBD49C8"/>
    <w:rsid w:val="71F04467"/>
    <w:rsid w:val="773E407D"/>
    <w:rsid w:val="77681C06"/>
    <w:rsid w:val="7886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font11"/>
    <w:basedOn w:val="4"/>
    <w:qFormat/>
    <w:uiPriority w:val="0"/>
    <w:rPr>
      <w:rFonts w:hint="eastAsia" w:ascii="宋体" w:hAnsi="宋体" w:eastAsia="宋体" w:cs="宋体"/>
      <w:color w:val="000000"/>
      <w:sz w:val="20"/>
      <w:szCs w:val="20"/>
      <w:u w:val="none"/>
    </w:rPr>
  </w:style>
  <w:style w:type="character" w:customStyle="1" w:styleId="6">
    <w:name w:val="font3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2021-02-02T08:25:00Z</dcterms:created>
  <dc:creator>Administrator</dc:creator>
  <cp:lastModifiedBy>Administrator</cp:lastModifiedBy>
  <dcterms:modified xsi:type="dcterms:W3CDTF">2021-03-02T03:29:43Z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A9AC20A791694D99AEC23E77306B48A5</vt:lpwstr>
  </property>
</Properties>
</file>