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中心血站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据《血站管理办法》、《血站质量管理规范》和《血站实验室质量管理规范》《血站技术操作规程2015版》及国家适用法律法规、行业规范和标准开展采供血各项业务工作，规范管理血站质量体系，保证质量管理体系的有效运行。任务是：在上级单位的指导下，负责为全州60万人，辖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家医疗机构提供安全有效充足的血液制品，进一步加大血液质量控制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加强对全州各医疗机构储血点(输血科)的业务指导和质量控制工作，督促检查各用血机构安全输血工作，召开全州血液管理质量控制工作会议，确保临床用血安全。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中心血站无下属预算单位，下设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 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办公室、体采科、检验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ind w:firstLine="240" w:firstLineChars="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w w:val="90"/>
          <w:kern w:val="0"/>
          <w:sz w:val="24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kern w:val="0"/>
          <w:sz w:val="24"/>
        </w:rPr>
        <w:t xml:space="preserve">单位：万元                       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285.54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285.54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1870.56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285.54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1870.56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1585.02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1870.56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1870.56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kern w:val="0"/>
          <w:sz w:val="24"/>
        </w:rPr>
        <w:t xml:space="preserve">单位：万元                                          </w:t>
      </w:r>
    </w:p>
    <w:tbl>
      <w:tblPr>
        <w:tblStyle w:val="7"/>
        <w:tblW w:w="11225" w:type="dxa"/>
        <w:tblInd w:w="-10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65"/>
        <w:gridCol w:w="450"/>
        <w:gridCol w:w="1392"/>
        <w:gridCol w:w="992"/>
        <w:gridCol w:w="851"/>
        <w:gridCol w:w="850"/>
        <w:gridCol w:w="709"/>
        <w:gridCol w:w="709"/>
        <w:gridCol w:w="567"/>
        <w:gridCol w:w="567"/>
        <w:gridCol w:w="567"/>
        <w:gridCol w:w="356"/>
        <w:gridCol w:w="420"/>
        <w:gridCol w:w="925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采供血机构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155.54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155.54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其他公共卫生支出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1473.52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130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1343.52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重大公共卫生服务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241.5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1870.56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285.54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1585.02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                                           </w:t>
      </w:r>
    </w:p>
    <w:tbl>
      <w:tblPr>
        <w:tblStyle w:val="7"/>
        <w:tblW w:w="9441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50"/>
        <w:gridCol w:w="420"/>
        <w:gridCol w:w="2420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采供血机构　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其他公共卫生支出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1473.52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1473.52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重大公共卫生服务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241.5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1870.56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1715.02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80" w:lineRule="exac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8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8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ind w:firstLine="210" w:firstLineChars="100"/>
        <w:jc w:val="lef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w w:val="100"/>
          <w:kern w:val="0"/>
          <w:szCs w:val="21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w w:val="100"/>
          <w:kern w:val="0"/>
          <w:szCs w:val="21"/>
        </w:rPr>
        <w:t xml:space="preserve"> </w:t>
      </w:r>
      <w:r>
        <w:rPr>
          <w:rFonts w:hint="eastAsia" w:ascii="仿宋_GB2312" w:hAnsi="宋体" w:eastAsia="仿宋_GB2312"/>
          <w:kern w:val="0"/>
          <w:szCs w:val="21"/>
        </w:rPr>
        <w:t xml:space="preserve">  </w:t>
      </w: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kern w:val="0"/>
          <w:szCs w:val="21"/>
        </w:rPr>
        <w:t xml:space="preserve">单位：万元                                                       </w:t>
      </w:r>
    </w:p>
    <w:tbl>
      <w:tblPr>
        <w:tblStyle w:val="7"/>
        <w:tblpPr w:leftFromText="180" w:rightFromText="180" w:vertAnchor="text" w:tblpX="-108" w:tblpY="1"/>
        <w:tblOverlap w:val="never"/>
        <w:tblW w:w="9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930"/>
        <w:gridCol w:w="2494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285.54　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285.54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285.54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285.54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w w:val="80"/>
                <w:sz w:val="20"/>
                <w:szCs w:val="20"/>
              </w:rPr>
              <w:t>本  年  收  入  小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285.54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  年  支  出  小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285.54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285.54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1585.02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285.54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285.54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285.54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克孜勒苏柯尔克孜自治州中心血站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采供血机构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其他公共卫生支出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130.00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130.00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285.54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克孜勒苏柯尔克孜自治州中心血站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手续费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147" w:rightChars="7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物业管理费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155.54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14.38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79" w:type="dxa"/>
        <w:tblInd w:w="-4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54"/>
        <w:gridCol w:w="465"/>
        <w:gridCol w:w="726"/>
        <w:gridCol w:w="1689"/>
        <w:gridCol w:w="517"/>
        <w:gridCol w:w="56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375" w:hRule="atLeast"/>
        </w:trPr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405" w:hRule="atLeast"/>
        </w:trPr>
        <w:tc>
          <w:tcPr>
            <w:tcW w:w="71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克孜勒苏柯尔克孜自治州中心血站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gridSpan w:val="3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26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689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其他公共卫生支出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采供血经费项目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1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outlineLvl w:val="1"/>
              <w:rPr>
                <w:rFonts w:hint="default"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kern w:val="0"/>
          <w:sz w:val="24"/>
        </w:rPr>
        <w:t xml:space="preserve">单位：万元                                            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kern w:val="0"/>
          <w:sz w:val="24"/>
        </w:rPr>
        <w:t xml:space="preserve">单位：万元                                             </w:t>
      </w:r>
    </w:p>
    <w:tbl>
      <w:tblPr>
        <w:tblStyle w:val="7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 w:val="0"/>
          <w:bCs/>
          <w:kern w:val="0"/>
          <w:sz w:val="24"/>
          <w:szCs w:val="24"/>
          <w:lang w:val="en-US" w:eastAsia="zh-CN"/>
        </w:rPr>
        <w:t>克孜勒苏柯尔克孜自治州中心</w:t>
      </w:r>
      <w:r>
        <w:rPr>
          <w:rFonts w:hint="eastAsia" w:ascii="仿宋_GB2312" w:hAnsi="宋体" w:eastAsia="仿宋_GB2312"/>
          <w:b w:val="0"/>
          <w:bCs/>
          <w:kern w:val="0"/>
          <w:sz w:val="24"/>
          <w:szCs w:val="24"/>
          <w:lang w:eastAsia="zh-CN"/>
        </w:rPr>
        <w:t>血站</w:t>
      </w:r>
      <w:r>
        <w:rPr>
          <w:rFonts w:hint="eastAsia" w:ascii="仿宋_GB2312" w:hAnsi="宋体" w:eastAsia="仿宋_GB2312"/>
          <w:b w:val="0"/>
          <w:bCs/>
          <w:kern w:val="0"/>
          <w:sz w:val="24"/>
          <w:szCs w:val="24"/>
          <w:lang w:val="en-US" w:eastAsia="zh-CN"/>
        </w:rPr>
        <w:t>2020年没有使用政府性基金预算拨款安排的支出，政府性基金预算支出情况表为空。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285.54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单位上年结余（不包括国库集中支付额度结余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1585.02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1870.56万元。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1870.56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比上年预算增加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105.66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单位人员工资福利待遇及公用经费增加；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1585.02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84.74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1455.02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上级财政专项经费收入结余。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1870.56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304.34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人员减少，工资福利经费减少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1715.02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91.68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1705.02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上年财政拨付专项经费，但因疫情原因未能及时使用，结转至今年使用；财政专项经费增加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285.54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卫生健康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285.54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单位人员工资福利待遇及公用经费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285.54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155.54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14.34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8.44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人员减少，人员经费及公用经费减少，开支缩减。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支出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130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92.3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2020年项目经费结转至本年继续使用，项目经费增加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）公共卫生（款：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）采供血机构（项：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单位人员减少，人员经费及公用经费减少，开支缩减。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卫生健康支出（类：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）公共卫生（款：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）其他公共卫生支出（项：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2020年项目经费结转至本年继续使用，项目经费增加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141.16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42.94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57.25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4.90万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14.67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7.36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10.57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2.59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0.88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3.65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万元、手续费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万元、培训费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万元、公务接待费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福利费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万元、办公设备购置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采供血业务经费项目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财政部门的审批文件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171.52万元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一般财政预算拨款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171.52万元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血站体系能力建设项目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财政部门的审批文件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191万元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一般财政预算拨款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191万元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重大传染病防控经费补助资金（血液疾病检测项目）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财政部门的审批文件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一般财政预算拨款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，未安排预算。公务用车运行费增加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单位无偿调入一辆公务用车，且单位车辆年限较长，维修费有所增加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单位今年对公务接待费用严格控制，减少接待次数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中心血站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单位职工人数减少，工资减少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    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119.93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113.19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1486.7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151.35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个，涉及预算金额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413.02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="1801" w:tblpY="175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890"/>
        <w:gridCol w:w="865"/>
        <w:gridCol w:w="1466"/>
        <w:gridCol w:w="736"/>
        <w:gridCol w:w="1717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bottom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克孜勒苏柯尔克孜自治州中心血站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采供血业务经费项目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171.52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171.52</w:t>
            </w: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单位聘用职工的工资，养老金，社保，住房公积金等正常支出；保障单位水电费、医疗垃圾清运费等正常支出；献血屋房屋物业费、水电费的正常缴纳，及时报销献血者用血后血费互助金，开展无偿献血活动及招募无偿献血者的日常开支；购买采供血相关试剂、耗材、专业服装，保证采供血业务的正常开展，为临床提供安全血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聘用护理人员人数（人）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购买医用耗材（批次）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采供血车辆（辆）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血库最低库存血量（ml）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解决业务用房面积（M2）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130.21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医用耗材验收合格率（%）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聘用人员执业证持有率（%）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血液采集合格率（%）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cs="Times New Roman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资金拨付及时率（%）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聘用人员经费标准（万元/年）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医用耗材采购成本（万元/年）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车辆经费标准（万元/年）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献血屋租赁费、物业费、水电费标准（万元/年）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13.13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血费互助金报销金额（万元）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献血纪念品（万元）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设备检测及维修费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业务运行费用（万元/年）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56.15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提升社会服务能力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保障采供血业务工作顺利开展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提高无偿献血社会知晓率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818"/>
              </w:tabs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受益职工满意度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献血者满意度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90%</w:t>
            </w:r>
          </w:p>
        </w:tc>
      </w:tr>
    </w:tbl>
    <w:tbl>
      <w:tblPr>
        <w:tblStyle w:val="7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907"/>
        <w:gridCol w:w="868"/>
        <w:gridCol w:w="1478"/>
        <w:gridCol w:w="975"/>
        <w:gridCol w:w="1494"/>
        <w:gridCol w:w="1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克孜勒苏柯尔克孜自治州中心血站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血站体系能力建设项目资金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8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用于健全血液供应保障体系，采供血专业设备的购置，污水处理系统及血站信息化网络建设等方面，通过该项目实施，提高血站采供血量需求及保障血液安全，有效预防和控制因污水导致传染病传播和环境污染事故发生，满足人民群众临床用血的需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污水处理系统（个）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全自动消毒高压锅（台）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数字化血浆融化箱（台）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低温移动操作台（台）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血浆速冻机（台）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加强血站信息化网络建设，提高血液安全管理效率和水平（项）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资金使用合规率（%）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eastAsia" w:ascii="宋体" w:hAnsi="宋体" w:cs="Times New Roman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项目完成时间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eastAsia" w:ascii="宋体" w:hAnsi="宋体" w:cs="Times New Roman"/>
                <w:color w:val="000000"/>
                <w:sz w:val="20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资金拨付及时率（%）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污水处理系统（个）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  <w:lang w:eastAsia="zh-CN"/>
              </w:rPr>
              <w:t>信息化网络建设（万元）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全自动消毒高压锅（台）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数字化血浆融化箱（台）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低温移动操作台（台）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血浆速冻机（台）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人民群众临床用血需求得到及时满足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血站血液储存运输能力大幅提高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较上年度提升50%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提高血站血液的采供血及储存运输能力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克孜勒苏柯尔克孜自治州中心血站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重大传染病防控经费补助资金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（血液疾病检测项目）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50.5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50.5</w:t>
            </w:r>
          </w:p>
        </w:tc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8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该项目资金用于对采集血液进行艾滋病、肝炎、丙型肝炎、梅毒、转氨酶、血红蛋白、血小板计数、血型检测；再对采集后的血液进行血液成分分离；通过该项目实施，给临床提供安全、有效的血液。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检测人数（人）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疾病检测完成率（%）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cs="Times New Roman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项目完成时间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cs="Times New Roman"/>
                <w:color w:val="000000"/>
                <w:sz w:val="20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</w:rPr>
              <w:t>资金拨付及时率（%）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疾病检测试剂购买费用（万元）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27.5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  <w:lang w:eastAsia="zh-CN"/>
              </w:rPr>
              <w:t>核酸检测费用（万元）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保障安全用血合格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2"/>
              </w:rPr>
              <w:t>提高对献血者疾病检测力度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≥98%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中心血站无其他需说明的事项。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6" w:type="default"/>
      <w:footerReference r:id="rId7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A0E1E"/>
    <w:multiLevelType w:val="singleLevel"/>
    <w:tmpl w:val="ED7A0E1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D3EE2B"/>
    <w:multiLevelType w:val="singleLevel"/>
    <w:tmpl w:val="10D3EE2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31DA2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A346576"/>
    <w:rsid w:val="1C643FAE"/>
    <w:rsid w:val="279B16A8"/>
    <w:rsid w:val="4B6572C0"/>
    <w:rsid w:val="56550B4E"/>
    <w:rsid w:val="57C50220"/>
    <w:rsid w:val="61277D32"/>
    <w:rsid w:val="666D00B7"/>
    <w:rsid w:val="675F6258"/>
    <w:rsid w:val="7CB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</TotalTime>
  <ScaleCrop>false</ScaleCrop>
  <LinksUpToDate>false</LinksUpToDate>
  <CharactersWithSpaces>16419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2021-05-18T02:27:00Z</cp:lastPrinted>
  <dcterms:modified xsi:type="dcterms:W3CDTF">2021-05-18T04:54:26Z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690DEAB6CAA64D069FB7E5BBE9959D79</vt:lpwstr>
  </property>
</Properties>
</file>