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分院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hint="eastAsia" w:ascii="黑体" w:hAnsi="黑体" w:eastAsia="黑体"/>
          <w:kern w:val="0"/>
          <w:sz w:val="36"/>
          <w:szCs w:val="32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概况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年部门（单位）预算公开表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一、部门（单位）收支总体情况表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二、部门（单位）收入总体情况表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三、部门（单位）支出总体情况表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七、一般公共预算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年部门（单位）预算情况说明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年一般公共预算项目支出情况说明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4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4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克孜勒苏分院</w:t>
      </w:r>
      <w:r>
        <w:rPr>
          <w:rFonts w:hint="eastAsia" w:ascii="黑体" w:hAnsi="黑体" w:eastAsia="黑体"/>
          <w:kern w:val="0"/>
          <w:sz w:val="32"/>
          <w:szCs w:val="32"/>
        </w:rPr>
        <w:t>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克孜勒苏分院主要机关规格相当于正县级，主要承担教职人员的培养培训等工作，隶属于克州民族事务委员会赶礼的公益一类事业单位。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eastAsia="仿宋_GB2312" w:hAnsiTheme="minorEastAsia"/>
          <w:sz w:val="32"/>
          <w:szCs w:val="32"/>
        </w:rPr>
        <w:t>无下属预算单位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克孜勒苏分院</w:t>
      </w:r>
      <w:r>
        <w:rPr>
          <w:rFonts w:hint="eastAsia" w:ascii="仿宋_GB2312" w:eastAsia="仿宋_GB2312" w:hAnsiTheme="minorEastAsia"/>
          <w:sz w:val="32"/>
          <w:szCs w:val="32"/>
        </w:rPr>
        <w:t>编制数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个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，事业编制3名，</w:t>
      </w:r>
      <w:r>
        <w:rPr>
          <w:rFonts w:hint="eastAsia" w:ascii="仿宋_GB2312" w:eastAsia="仿宋_GB2312" w:hAnsiTheme="minorEastAsia"/>
          <w:sz w:val="32"/>
          <w:szCs w:val="32"/>
        </w:rPr>
        <w:t>实有人数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人，其中：在职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人；退休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hAnsiTheme="minorEastAsia"/>
          <w:sz w:val="32"/>
          <w:szCs w:val="32"/>
        </w:rPr>
        <w:t>人，增加；离休0人，增加0人。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年部门（单位）预算公开表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部门（单位）收支总体情况表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97.67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97.67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147.67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147.67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单位：万元</w:t>
      </w:r>
    </w:p>
    <w:tbl>
      <w:tblPr>
        <w:tblStyle w:val="10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331"/>
        <w:gridCol w:w="331"/>
        <w:gridCol w:w="1295"/>
        <w:gridCol w:w="992"/>
        <w:gridCol w:w="851"/>
        <w:gridCol w:w="850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0" w:rightChars="0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（民宗事务）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97.67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97.67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201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其他民族事务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 w:rightChars="0"/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  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147.67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97.67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280" w:lineRule="exact"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（民族事务）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97.67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97.67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eastAsia="zh-CN"/>
              </w:rPr>
              <w:t>其他民族事务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147.67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97.67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kern w:val="0"/>
          <w:szCs w:val="21"/>
        </w:rPr>
      </w:pPr>
      <w:r>
        <w:rPr>
          <w:rFonts w:hint="eastAsia" w:ascii="仿宋_GB2312" w:hAnsi="宋体" w:eastAsia="仿宋_GB2312"/>
          <w:kern w:val="0"/>
          <w:szCs w:val="21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Cs w:val="21"/>
        </w:rPr>
        <w:t xml:space="preserve">                                          单位：万元</w:t>
      </w:r>
    </w:p>
    <w:tbl>
      <w:tblPr>
        <w:tblStyle w:val="10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97.67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97.67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97.67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97.67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97.67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97.67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97.67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ascii="仿宋_GB2312" w:hAnsi="宋体" w:eastAsia="仿宋_GB2312"/>
          <w:b/>
          <w:kern w:val="0"/>
          <w:sz w:val="28"/>
          <w:szCs w:val="32"/>
        </w:rPr>
        <w:br w:type="textWrapping" w:clear="all"/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克孜勒苏分院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行政支出（民族事务）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97.67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97.67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97.67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克孜勒苏分院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147" w:rightChars="7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17.54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工会费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16.93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12.63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97.67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79.94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17.73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克孜勒苏分院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编制部门（单位）：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克孜勒苏分院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年部门（单位）预算情况说明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年所有收入和支出均纳入部门（单位）预算管理。收支总预算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元、政府性基金预算0万元、上级专项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，上年结余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元。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47.67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人员增加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97.67万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基本支出：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47.67万元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项目支出：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人员增加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           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克孜勒苏分院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收入预算包括：一般公共预算拨款    万元，政府性基金预算拨款   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一般公共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包括：一般公共服务支出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47.67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万元，主要用于     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政府性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基金预算拨款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年一般公共预算拨款合计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47.67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万元，其中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47.67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单位新成立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单位新成立，第一次做预算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201（类）47.67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民族事务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23（款）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行政运行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99（项）；2021年预算数位97.67万元。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47.67万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其中：办公费6.73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津贴补贴3.96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取暖费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17.54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住房公积金28.56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工会费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0.32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其他社会保障缴费16.93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基本工资12.63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年一般公共预算项目支出情况说明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九、关于部门（单位）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pacing w:line="580" w:lineRule="exact"/>
        <w:ind w:firstLine="361" w:firstLineChars="11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2021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年，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克孜勒苏分院行政运行经费财政拨款预算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val="en-US" w:eastAsia="zh-CN"/>
        </w:rPr>
        <w:t>0.6万元，比上年预算增加0万元，增加0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%</w:t>
      </w:r>
      <w:r>
        <w:rPr>
          <w:rFonts w:hint="eastAsia" w:ascii="仿宋_GB2312" w:eastAsia="仿宋_GB2312" w:cs="宋体" w:hAnsiTheme="minorEastAsia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万元，政府采购工程预算0万元，政府采购服务预算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2021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套，单位价值100万元以上大型设备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克孜勒苏分院未安排购置车辆经费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tbl>
      <w:tblPr>
        <w:tblStyle w:val="10"/>
        <w:tblW w:w="8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克孜勒苏分院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无其他说明事项。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包括事业收入、事业经营收入、其他收入等。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部门（单位）支出预算的组成部分，是自治区本级部门（单位）为完成其特定的行政任务或事业发展目标，在基本支出预算之外编制的年度项目支出计划。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克孜勒苏分院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</w:t>
      </w: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                 2021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  <w:bookmarkStart w:id="2" w:name="_GoBack"/>
      <w:bookmarkEnd w:id="2"/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9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9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9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DEA02"/>
    <w:multiLevelType w:val="singleLevel"/>
    <w:tmpl w:val="8E1DEA0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1776BA6"/>
    <w:rsid w:val="041408DF"/>
    <w:rsid w:val="074C438F"/>
    <w:rsid w:val="086B3096"/>
    <w:rsid w:val="08DC683A"/>
    <w:rsid w:val="092253EA"/>
    <w:rsid w:val="11D20445"/>
    <w:rsid w:val="132A1E69"/>
    <w:rsid w:val="15F23683"/>
    <w:rsid w:val="190860C4"/>
    <w:rsid w:val="1B76506C"/>
    <w:rsid w:val="1D4D78B6"/>
    <w:rsid w:val="1E913DFE"/>
    <w:rsid w:val="20900A4A"/>
    <w:rsid w:val="209B239D"/>
    <w:rsid w:val="23104C28"/>
    <w:rsid w:val="23150B42"/>
    <w:rsid w:val="236C7F7E"/>
    <w:rsid w:val="2558124A"/>
    <w:rsid w:val="278F00B4"/>
    <w:rsid w:val="2A393BE7"/>
    <w:rsid w:val="2B3E3BAA"/>
    <w:rsid w:val="2E75467A"/>
    <w:rsid w:val="2FB57B06"/>
    <w:rsid w:val="310026CD"/>
    <w:rsid w:val="34786A90"/>
    <w:rsid w:val="35A11815"/>
    <w:rsid w:val="364065C6"/>
    <w:rsid w:val="37845947"/>
    <w:rsid w:val="38437024"/>
    <w:rsid w:val="39121E0E"/>
    <w:rsid w:val="3A7E3E77"/>
    <w:rsid w:val="3B107639"/>
    <w:rsid w:val="3B150301"/>
    <w:rsid w:val="3C272AA9"/>
    <w:rsid w:val="3D7A7453"/>
    <w:rsid w:val="3F432FAE"/>
    <w:rsid w:val="481B4092"/>
    <w:rsid w:val="48F403FA"/>
    <w:rsid w:val="4B1B625B"/>
    <w:rsid w:val="4DA26A77"/>
    <w:rsid w:val="52A974DE"/>
    <w:rsid w:val="53AF72C4"/>
    <w:rsid w:val="54634E98"/>
    <w:rsid w:val="54D77F7F"/>
    <w:rsid w:val="54D87337"/>
    <w:rsid w:val="56567ED9"/>
    <w:rsid w:val="57916D75"/>
    <w:rsid w:val="5BD67871"/>
    <w:rsid w:val="5C515BFE"/>
    <w:rsid w:val="5E1209CF"/>
    <w:rsid w:val="5E534BE3"/>
    <w:rsid w:val="5F79217A"/>
    <w:rsid w:val="63733FC7"/>
    <w:rsid w:val="685402AB"/>
    <w:rsid w:val="6A573735"/>
    <w:rsid w:val="6BE5681E"/>
    <w:rsid w:val="6C085396"/>
    <w:rsid w:val="6CDC3859"/>
    <w:rsid w:val="6DC32738"/>
    <w:rsid w:val="70E24D3F"/>
    <w:rsid w:val="782837DC"/>
    <w:rsid w:val="795E70C5"/>
    <w:rsid w:val="7AB36345"/>
    <w:rsid w:val="7C1817C3"/>
    <w:rsid w:val="7DC5239B"/>
    <w:rsid w:val="7DCF7611"/>
    <w:rsid w:val="7F3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7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9</TotalTime>
  <ScaleCrop>false</ScaleCrop>
  <LinksUpToDate>false</LinksUpToDate>
  <CharactersWithSpaces>16419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Administrator</cp:lastModifiedBy>
  <dcterms:modified xsi:type="dcterms:W3CDTF">2021-03-05T05:42:23Z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