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highlight w:val="none"/>
        </w:rPr>
      </w:pPr>
      <w:r>
        <w:rPr>
          <w:rFonts w:hint="eastAsia" w:ascii="黑体" w:hAnsi="黑体" w:eastAsia="黑体"/>
          <w:sz w:val="32"/>
          <w:szCs w:val="32"/>
          <w:highlight w:val="none"/>
        </w:rPr>
        <w:t>附件：</w:t>
      </w:r>
    </w:p>
    <w:p>
      <w:pPr>
        <w:rPr>
          <w:rFonts w:ascii="宋体" w:hAnsi="宋体" w:cs="宋体"/>
          <w:b/>
          <w:bCs/>
          <w:kern w:val="0"/>
          <w:sz w:val="44"/>
          <w:szCs w:val="44"/>
          <w:highlight w:val="none"/>
        </w:rPr>
      </w:pPr>
    </w:p>
    <w:p>
      <w:pPr>
        <w:rPr>
          <w:rFonts w:ascii="宋体" w:hAnsi="宋体" w:cs="宋体"/>
          <w:b/>
          <w:bCs/>
          <w:kern w:val="0"/>
          <w:sz w:val="44"/>
          <w:szCs w:val="44"/>
          <w:highlight w:val="none"/>
        </w:rPr>
      </w:pPr>
    </w:p>
    <w:p>
      <w:pPr>
        <w:rPr>
          <w:rFonts w:ascii="宋体" w:hAnsi="宋体" w:cs="宋体"/>
          <w:b/>
          <w:bCs/>
          <w:kern w:val="0"/>
          <w:sz w:val="44"/>
          <w:szCs w:val="44"/>
          <w:highlight w:val="none"/>
        </w:rPr>
      </w:pPr>
    </w:p>
    <w:p>
      <w:pPr>
        <w:rPr>
          <w:rFonts w:ascii="黑体" w:hAnsi="黑体" w:eastAsia="黑体"/>
          <w:sz w:val="32"/>
          <w:szCs w:val="32"/>
          <w:highlight w:val="none"/>
        </w:rPr>
      </w:pPr>
    </w:p>
    <w:p>
      <w:pPr>
        <w:rPr>
          <w:rFonts w:ascii="宋体" w:hAnsi="宋体" w:cs="宋体"/>
          <w:b/>
          <w:bCs/>
          <w:kern w:val="0"/>
          <w:sz w:val="44"/>
          <w:szCs w:val="44"/>
          <w:highlight w:val="none"/>
        </w:rPr>
      </w:pP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rPr>
        <w:t>克孜勒苏柯尔克孜自治州</w:t>
      </w:r>
      <w:r>
        <w:rPr>
          <w:rFonts w:hint="eastAsia" w:ascii="方正小标宋_GBK" w:hAnsi="宋体" w:eastAsia="方正小标宋_GBK"/>
          <w:kern w:val="0"/>
          <w:sz w:val="44"/>
          <w:szCs w:val="44"/>
          <w:highlight w:val="none"/>
          <w:lang w:eastAsia="zh-CN"/>
        </w:rPr>
        <w:t>电教仪器站</w:t>
      </w:r>
      <w:r>
        <w:rPr>
          <w:rFonts w:hint="eastAsia" w:ascii="方正小标宋_GBK" w:hAnsi="宋体" w:eastAsia="方正小标宋_GBK"/>
          <w:kern w:val="0"/>
          <w:sz w:val="44"/>
          <w:szCs w:val="44"/>
          <w:highlight w:val="none"/>
          <w:lang w:val="en-US" w:eastAsia="zh-CN"/>
        </w:rPr>
        <w:t>2021</w:t>
      </w:r>
      <w:r>
        <w:rPr>
          <w:rFonts w:hint="eastAsia" w:ascii="方正小标宋_GBK" w:hAnsi="宋体" w:eastAsia="方正小标宋_GBK"/>
          <w:kern w:val="0"/>
          <w:sz w:val="44"/>
          <w:szCs w:val="44"/>
          <w:highlight w:val="none"/>
        </w:rPr>
        <w:t>年</w:t>
      </w: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rPr>
        <w:t>预算公开</w:t>
      </w: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both"/>
        <w:outlineLvl w:val="1"/>
        <w:rPr>
          <w:rFonts w:ascii="宋体" w:hAnsi="宋体"/>
          <w:b/>
          <w:kern w:val="0"/>
          <w:sz w:val="44"/>
          <w:szCs w:val="44"/>
          <w:highlight w:val="none"/>
        </w:rPr>
      </w:pPr>
    </w:p>
    <w:p>
      <w:pPr>
        <w:widowControl/>
        <w:spacing w:before="100" w:beforeAutospacing="1" w:after="100" w:afterAutospacing="1"/>
        <w:jc w:val="both"/>
        <w:outlineLvl w:val="1"/>
        <w:rPr>
          <w:rFonts w:ascii="宋体" w:hAnsi="宋体"/>
          <w:b/>
          <w:kern w:val="0"/>
          <w:sz w:val="44"/>
          <w:szCs w:val="44"/>
          <w:highlight w:val="none"/>
        </w:rPr>
      </w:pPr>
    </w:p>
    <w:p>
      <w:pPr>
        <w:widowControl/>
        <w:spacing w:before="100" w:beforeAutospacing="1" w:after="100" w:afterAutospacing="1"/>
        <w:jc w:val="both"/>
        <w:outlineLvl w:val="1"/>
        <w:rPr>
          <w:rFonts w:ascii="宋体" w:hAnsi="宋体"/>
          <w:b/>
          <w:kern w:val="0"/>
          <w:sz w:val="44"/>
          <w:szCs w:val="44"/>
          <w:highlight w:val="none"/>
        </w:rPr>
      </w:pPr>
    </w:p>
    <w:p>
      <w:pPr>
        <w:widowControl/>
        <w:spacing w:line="440" w:lineRule="exact"/>
        <w:jc w:val="center"/>
        <w:outlineLvl w:val="1"/>
        <w:rPr>
          <w:rFonts w:ascii="黑体" w:hAnsi="黑体" w:eastAsia="黑体"/>
          <w:kern w:val="0"/>
          <w:sz w:val="36"/>
          <w:szCs w:val="32"/>
          <w:highlight w:val="none"/>
        </w:rPr>
      </w:pPr>
      <w:r>
        <w:rPr>
          <w:rFonts w:hint="eastAsia" w:ascii="黑体" w:hAnsi="黑体" w:eastAsia="黑体"/>
          <w:kern w:val="0"/>
          <w:sz w:val="36"/>
          <w:szCs w:val="32"/>
          <w:highlight w:val="none"/>
        </w:rPr>
        <w:t>目 录</w:t>
      </w:r>
    </w:p>
    <w:p>
      <w:pPr>
        <w:widowControl/>
        <w:spacing w:line="440" w:lineRule="exact"/>
        <w:ind w:firstLine="883" w:firstLineChars="200"/>
        <w:outlineLvl w:val="1"/>
        <w:rPr>
          <w:rFonts w:ascii="宋体" w:hAnsi="宋体"/>
          <w:b/>
          <w:kern w:val="0"/>
          <w:sz w:val="44"/>
          <w:szCs w:val="44"/>
          <w:highlight w:val="none"/>
        </w:rPr>
      </w:pP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第一部分  </w:t>
      </w:r>
      <w:r>
        <w:rPr>
          <w:rFonts w:hint="eastAsia" w:ascii="仿宋_GB2312" w:hAnsi="宋体" w:eastAsia="仿宋_GB2312"/>
          <w:b/>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概况</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一、主要职能</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二、机构设置及人员情况</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第二部分  </w:t>
      </w:r>
      <w:r>
        <w:rPr>
          <w:rFonts w:hint="eastAsia" w:ascii="仿宋_GB2312" w:hAnsi="宋体" w:eastAsia="仿宋_GB2312"/>
          <w:b/>
          <w:kern w:val="0"/>
          <w:sz w:val="32"/>
          <w:szCs w:val="32"/>
          <w:highlight w:val="none"/>
          <w:lang w:val="en-US" w:eastAsia="zh-CN"/>
        </w:rPr>
        <w:t>2021</w:t>
      </w:r>
      <w:r>
        <w:rPr>
          <w:rFonts w:hint="eastAsia" w:ascii="仿宋_GB2312" w:hAnsi="宋体" w:eastAsia="仿宋_GB2312"/>
          <w:b/>
          <w:kern w:val="0"/>
          <w:sz w:val="32"/>
          <w:szCs w:val="32"/>
          <w:highlight w:val="none"/>
        </w:rPr>
        <w:t>年</w:t>
      </w:r>
      <w:r>
        <w:rPr>
          <w:rFonts w:hint="eastAsia" w:ascii="仿宋_GB2312" w:hAnsi="宋体" w:eastAsia="仿宋_GB2312"/>
          <w:b/>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预算公开表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一、部门（单位）收支总体情况表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二、部门（单位）收入总体情况表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三、部门（单位）支出总体情况表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四、财政拨款收支总体情况表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五、一般公共预算支出情况表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六、一般公共预算基本支出情况表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七、一般公共预算</w:t>
      </w:r>
      <w:r>
        <w:rPr>
          <w:rFonts w:hint="eastAsia" w:ascii="仿宋_GB2312" w:hAnsi="宋体" w:eastAsia="仿宋_GB2312"/>
          <w:bCs/>
          <w:kern w:val="0"/>
          <w:sz w:val="32"/>
          <w:szCs w:val="32"/>
          <w:highlight w:val="none"/>
        </w:rPr>
        <w:t>项目支出情况表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九、政府性基金预算支出情况表</w:t>
      </w: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第三部分  </w:t>
      </w:r>
      <w:r>
        <w:rPr>
          <w:rFonts w:hint="eastAsia" w:ascii="仿宋_GB2312" w:hAnsi="宋体" w:eastAsia="仿宋_GB2312"/>
          <w:b/>
          <w:kern w:val="0"/>
          <w:sz w:val="32"/>
          <w:szCs w:val="32"/>
          <w:highlight w:val="none"/>
          <w:lang w:val="en-US" w:eastAsia="zh-CN"/>
        </w:rPr>
        <w:t>2021</w:t>
      </w:r>
      <w:r>
        <w:rPr>
          <w:rFonts w:hint="eastAsia" w:ascii="仿宋_GB2312" w:hAnsi="宋体" w:eastAsia="仿宋_GB2312"/>
          <w:b/>
          <w:kern w:val="0"/>
          <w:sz w:val="32"/>
          <w:szCs w:val="32"/>
          <w:highlight w:val="none"/>
        </w:rPr>
        <w:t>年</w:t>
      </w:r>
      <w:r>
        <w:rPr>
          <w:rFonts w:hint="eastAsia" w:ascii="仿宋_GB2312" w:hAnsi="宋体" w:eastAsia="仿宋_GB2312"/>
          <w:b/>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年收支预算情况的总体说明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年收入预算情况说明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年支出预算情况说明</w:t>
      </w:r>
    </w:p>
    <w:p>
      <w:pPr>
        <w:widowControl/>
        <w:spacing w:line="440" w:lineRule="exact"/>
        <w:ind w:firstLine="640" w:firstLineChars="200"/>
        <w:outlineLvl w:val="1"/>
        <w:rPr>
          <w:rFonts w:ascii="仿宋_GB2312" w:hAnsi="宋体" w:eastAsia="仿宋_GB2312"/>
          <w:bCs/>
          <w:kern w:val="0"/>
          <w:sz w:val="32"/>
          <w:szCs w:val="32"/>
          <w:highlight w:val="none"/>
        </w:rPr>
      </w:pPr>
      <w:r>
        <w:rPr>
          <w:rFonts w:hint="eastAsia" w:ascii="仿宋_GB2312" w:hAnsi="宋体" w:eastAsia="仿宋_GB2312"/>
          <w:bCs/>
          <w:kern w:val="0"/>
          <w:sz w:val="32"/>
          <w:szCs w:val="32"/>
          <w:highlight w:val="none"/>
        </w:rPr>
        <w:t>四、关于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bCs/>
          <w:kern w:val="0"/>
          <w:sz w:val="32"/>
          <w:szCs w:val="32"/>
          <w:highlight w:val="none"/>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年一般公共预算当年拨款情况说明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年一般公共预算基本支出情况说明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年一般公共预算项目支出情况说明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九、关于</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年政府性基金预算拨款情况说明</w:t>
      </w:r>
    </w:p>
    <w:p>
      <w:pPr>
        <w:widowControl/>
        <w:spacing w:line="44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十、其他重要事项的情况说明</w:t>
      </w:r>
    </w:p>
    <w:p>
      <w:pPr>
        <w:widowControl/>
        <w:spacing w:line="440" w:lineRule="exact"/>
        <w:ind w:firstLine="643" w:firstLineChars="200"/>
        <w:outlineLvl w:val="1"/>
        <w:rPr>
          <w:rFonts w:hint="eastAsia" w:ascii="仿宋_GB2312" w:hAnsi="宋体" w:eastAsia="仿宋_GB2312"/>
          <w:b/>
          <w:kern w:val="0"/>
          <w:sz w:val="32"/>
          <w:szCs w:val="32"/>
          <w:highlight w:val="none"/>
        </w:rPr>
      </w:pPr>
    </w:p>
    <w:p>
      <w:pPr>
        <w:widowControl/>
        <w:spacing w:line="44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第四部分  名词解释</w:t>
      </w:r>
    </w:p>
    <w:p>
      <w:pPr>
        <w:widowControl/>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第一部分   </w:t>
      </w:r>
      <w:r>
        <w:rPr>
          <w:rFonts w:hint="eastAsia" w:ascii="黑体" w:hAnsi="黑体" w:eastAsia="黑体"/>
          <w:kern w:val="0"/>
          <w:sz w:val="32"/>
          <w:szCs w:val="32"/>
          <w:highlight w:val="none"/>
          <w:lang w:eastAsia="zh-CN"/>
        </w:rPr>
        <w:t>克孜勒苏柯尔克孜自治州电教仪器站</w:t>
      </w:r>
      <w:r>
        <w:rPr>
          <w:rFonts w:hint="eastAsia" w:ascii="黑体" w:hAnsi="黑体" w:eastAsia="黑体"/>
          <w:kern w:val="0"/>
          <w:sz w:val="32"/>
          <w:szCs w:val="32"/>
          <w:highlight w:val="none"/>
        </w:rPr>
        <w:t>概况</w:t>
      </w:r>
    </w:p>
    <w:p>
      <w:pPr>
        <w:widowControl/>
        <w:jc w:val="center"/>
        <w:outlineLvl w:val="1"/>
        <w:rPr>
          <w:rFonts w:ascii="宋体" w:hAnsi="宋体"/>
          <w:b/>
          <w:kern w:val="0"/>
          <w:sz w:val="32"/>
          <w:szCs w:val="32"/>
          <w:highlight w:val="none"/>
        </w:rPr>
      </w:pPr>
    </w:p>
    <w:p>
      <w:pPr>
        <w:widowControl/>
        <w:spacing w:line="560" w:lineRule="exact"/>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一、主要职能</w:t>
      </w:r>
    </w:p>
    <w:p>
      <w:pPr>
        <w:widowControl/>
        <w:spacing w:line="560" w:lineRule="exact"/>
        <w:ind w:firstLine="640"/>
        <w:jc w:val="left"/>
        <w:rPr>
          <w:rFonts w:hint="eastAsia" w:ascii="仿宋_GB2312" w:hAnsi="宋体" w:eastAsia="仿宋_GB2312" w:cs="宋体"/>
          <w:kern w:val="0"/>
          <w:sz w:val="32"/>
          <w:szCs w:val="32"/>
          <w:highlight w:val="none"/>
        </w:rPr>
      </w:pPr>
      <w:r>
        <w:rPr>
          <w:rFonts w:hint="eastAsia" w:ascii="仿宋_GB2312" w:hAnsi="黑体" w:eastAsia="仿宋_GB2312" w:cs="宋体"/>
          <w:bCs/>
          <w:kern w:val="0"/>
          <w:sz w:val="32"/>
          <w:szCs w:val="32"/>
          <w:highlight w:val="none"/>
          <w:lang w:eastAsia="zh-CN"/>
        </w:rPr>
        <w:t>克州电教仪器站主要负责协助克州教育局机关指导教育装备及信息化的规划、规范、协调、检查、验收及管理工作；负责学校实验室、图书馆管理、使用等方面的指导工作；协助局机关指导全州教学仪器的质量检测及学具管理工作；负责指导中小学实验教师和信息化教师的培训工作</w:t>
      </w:r>
      <w:r>
        <w:rPr>
          <w:rFonts w:hint="eastAsia" w:ascii="仿宋_GB2312" w:hAnsi="黑体" w:eastAsia="仿宋_GB2312" w:cs="宋体"/>
          <w:bCs/>
          <w:kern w:val="0"/>
          <w:sz w:val="32"/>
          <w:szCs w:val="32"/>
          <w:highlight w:val="none"/>
        </w:rPr>
        <w:t>。</w:t>
      </w:r>
      <w:r>
        <w:rPr>
          <w:rFonts w:hint="eastAsia" w:ascii="仿宋_GB2312" w:hAnsi="宋体" w:eastAsia="仿宋_GB2312" w:cs="宋体"/>
          <w:bCs/>
          <w:kern w:val="0"/>
          <w:sz w:val="32"/>
          <w:szCs w:val="32"/>
          <w:highlight w:val="none"/>
        </w:rPr>
        <w:t xml:space="preserve"> </w:t>
      </w:r>
      <w:r>
        <w:rPr>
          <w:rFonts w:hint="eastAsia" w:ascii="仿宋_GB2312" w:hAnsi="宋体" w:eastAsia="仿宋_GB2312" w:cs="宋体"/>
          <w:kern w:val="0"/>
          <w:sz w:val="32"/>
          <w:szCs w:val="32"/>
          <w:highlight w:val="none"/>
        </w:rPr>
        <w:t xml:space="preserve"> </w:t>
      </w:r>
    </w:p>
    <w:p>
      <w:pPr>
        <w:widowControl/>
        <w:spacing w:line="560" w:lineRule="exact"/>
        <w:ind w:firstLine="640"/>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二、机构设置及人员情况</w:t>
      </w:r>
    </w:p>
    <w:p>
      <w:pPr>
        <w:widowControl/>
        <w:spacing w:line="56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克州电教仪器站无下</w:t>
      </w:r>
      <w:r>
        <w:rPr>
          <w:rFonts w:hint="eastAsia" w:ascii="仿宋_GB2312" w:hAnsi="黑体" w:eastAsia="仿宋_GB2312" w:cs="宋体"/>
          <w:bCs/>
          <w:kern w:val="0"/>
          <w:sz w:val="32"/>
          <w:szCs w:val="32"/>
          <w:highlight w:val="none"/>
        </w:rPr>
        <w:t>属预算单位，下设</w:t>
      </w:r>
      <w:r>
        <w:rPr>
          <w:rFonts w:ascii="仿宋_GB2312" w:hAnsi="黑体" w:eastAsia="仿宋_GB2312" w:cs="宋体"/>
          <w:bCs/>
          <w:kern w:val="0"/>
          <w:sz w:val="32"/>
          <w:szCs w:val="32"/>
          <w:highlight w:val="none"/>
        </w:rPr>
        <w:t>0</w:t>
      </w:r>
      <w:r>
        <w:rPr>
          <w:rFonts w:hint="eastAsia" w:ascii="仿宋_GB2312" w:hAnsi="黑体" w:eastAsia="仿宋_GB2312" w:cs="宋体"/>
          <w:bCs/>
          <w:kern w:val="0"/>
          <w:sz w:val="32"/>
          <w:szCs w:val="32"/>
          <w:highlight w:val="none"/>
        </w:rPr>
        <w:t>个处室</w:t>
      </w:r>
      <w:r>
        <w:rPr>
          <w:rFonts w:hint="eastAsia" w:ascii="仿宋_GB2312" w:hAnsi="宋体" w:eastAsia="仿宋_GB2312" w:cs="宋体"/>
          <w:kern w:val="0"/>
          <w:sz w:val="32"/>
          <w:szCs w:val="32"/>
          <w:highlight w:val="none"/>
        </w:rPr>
        <w:t>。</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克州电教仪器站编制数</w:t>
      </w:r>
      <w:r>
        <w:rPr>
          <w:rFonts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lang w:val="en-US" w:eastAsia="zh-CN"/>
        </w:rPr>
        <w:t>4</w:t>
      </w:r>
      <w:r>
        <w:rPr>
          <w:rFonts w:hint="eastAsia" w:ascii="仿宋_GB2312" w:hAnsi="宋体" w:eastAsia="仿宋_GB2312" w:cs="宋体"/>
          <w:kern w:val="0"/>
          <w:sz w:val="32"/>
          <w:szCs w:val="32"/>
          <w:highlight w:val="none"/>
        </w:rPr>
        <w:t>，实有人数</w:t>
      </w:r>
      <w:r>
        <w:rPr>
          <w:rFonts w:ascii="仿宋_GB2312" w:hAnsi="宋体" w:eastAsia="仿宋_GB2312" w:cs="宋体"/>
          <w:kern w:val="0"/>
          <w:sz w:val="32"/>
          <w:szCs w:val="32"/>
          <w:highlight w:val="none"/>
        </w:rPr>
        <w:t>2</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人，其中：在职</w:t>
      </w:r>
      <w:r>
        <w:rPr>
          <w:rFonts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人，减少</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退休</w:t>
      </w:r>
      <w:r>
        <w:rPr>
          <w:rFonts w:ascii="仿宋_GB2312" w:hAnsi="宋体" w:eastAsia="仿宋_GB2312" w:cs="宋体"/>
          <w:kern w:val="0"/>
          <w:sz w:val="32"/>
          <w:szCs w:val="32"/>
          <w:highlight w:val="none"/>
        </w:rPr>
        <w:t>8</w:t>
      </w:r>
      <w:r>
        <w:rPr>
          <w:rFonts w:hint="eastAsia" w:ascii="仿宋_GB2312" w:hAnsi="宋体" w:eastAsia="仿宋_GB2312" w:cs="宋体"/>
          <w:kern w:val="0"/>
          <w:sz w:val="32"/>
          <w:szCs w:val="32"/>
          <w:highlight w:val="none"/>
        </w:rPr>
        <w:t>人，增加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人；离休</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人，增加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人。</w:t>
      </w:r>
    </w:p>
    <w:p>
      <w:pPr>
        <w:widowControl/>
        <w:spacing w:line="240" w:lineRule="auto"/>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第二部分  </w:t>
      </w:r>
      <w:r>
        <w:rPr>
          <w:rFonts w:hint="eastAsia" w:ascii="黑体" w:hAnsi="黑体" w:eastAsia="黑体"/>
          <w:kern w:val="0"/>
          <w:sz w:val="32"/>
          <w:szCs w:val="32"/>
          <w:highlight w:val="none"/>
          <w:lang w:val="en-US" w:eastAsia="zh-CN"/>
        </w:rPr>
        <w:t>2021</w:t>
      </w:r>
      <w:r>
        <w:rPr>
          <w:rFonts w:hint="eastAsia" w:ascii="黑体" w:hAnsi="黑体" w:eastAsia="黑体"/>
          <w:kern w:val="0"/>
          <w:sz w:val="32"/>
          <w:szCs w:val="32"/>
          <w:highlight w:val="none"/>
        </w:rPr>
        <w:t>年</w:t>
      </w:r>
      <w:r>
        <w:rPr>
          <w:rFonts w:hint="eastAsia" w:ascii="黑体" w:hAnsi="黑体" w:eastAsia="黑体"/>
          <w:kern w:val="0"/>
          <w:sz w:val="32"/>
          <w:szCs w:val="32"/>
          <w:highlight w:val="none"/>
          <w:lang w:eastAsia="zh-CN"/>
        </w:rPr>
        <w:t>克孜勒苏柯尔克孜自治州电教仪器站</w:t>
      </w:r>
      <w:r>
        <w:rPr>
          <w:rFonts w:hint="eastAsia" w:ascii="黑体" w:hAnsi="黑体" w:eastAsia="黑体"/>
          <w:kern w:val="0"/>
          <w:sz w:val="32"/>
          <w:szCs w:val="32"/>
          <w:highlight w:val="none"/>
        </w:rPr>
        <w:t>预算</w:t>
      </w:r>
      <w:r>
        <w:rPr>
          <w:rFonts w:hint="eastAsia" w:ascii="黑体" w:hAnsi="黑体" w:eastAsia="黑体"/>
          <w:kern w:val="0"/>
          <w:sz w:val="32"/>
          <w:szCs w:val="32"/>
          <w:highlight w:val="none"/>
          <w:lang w:val="en-US" w:eastAsia="zh-CN"/>
        </w:rPr>
        <w:t xml:space="preserve">  </w:t>
      </w:r>
      <w:r>
        <w:rPr>
          <w:rFonts w:hint="eastAsia" w:ascii="黑体" w:hAnsi="黑体" w:eastAsia="黑体"/>
          <w:kern w:val="0"/>
          <w:sz w:val="32"/>
          <w:szCs w:val="32"/>
          <w:highlight w:val="none"/>
        </w:rPr>
        <w:t>公开表</w:t>
      </w:r>
    </w:p>
    <w:p>
      <w:pPr>
        <w:widowControl/>
        <w:spacing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表一：</w:t>
      </w:r>
    </w:p>
    <w:p>
      <w:pPr>
        <w:widowControl/>
        <w:spacing w:line="240" w:lineRule="auto"/>
        <w:jc w:val="center"/>
        <w:outlineLvl w:val="1"/>
        <w:rPr>
          <w:rFonts w:ascii="仿宋_GB2312" w:hAnsi="宋体" w:eastAsia="仿宋_GB2312"/>
          <w:b/>
          <w:kern w:val="0"/>
          <w:sz w:val="32"/>
          <w:szCs w:val="32"/>
          <w:highlight w:val="none"/>
        </w:rPr>
      </w:pPr>
      <w:r>
        <w:rPr>
          <w:rFonts w:hint="eastAsia" w:ascii="黑体" w:hAnsi="黑体" w:eastAsia="黑体"/>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收支总体情况表</w:t>
      </w:r>
    </w:p>
    <w:p>
      <w:pPr>
        <w:widowControl/>
        <w:spacing w:line="280" w:lineRule="exac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 w:val="24"/>
          <w:highlight w:val="none"/>
        </w:rPr>
        <w:t xml:space="preserve">            单位：万元</w:t>
      </w:r>
    </w:p>
    <w:tbl>
      <w:tblPr>
        <w:tblStyle w:val="7"/>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收     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财政拨款（补助）</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一般公共预算</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8"/>
                <w:szCs w:val="18"/>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宋体" w:hAnsi="宋体" w:eastAsia="宋体" w:cs="宋体"/>
                <w:i w:val="0"/>
                <w:color w:val="000000"/>
                <w:kern w:val="0"/>
                <w:sz w:val="20"/>
                <w:szCs w:val="20"/>
                <w:highlight w:val="none"/>
                <w:u w:val="none"/>
                <w:lang w:val="en-US" w:eastAsia="zh-CN" w:bidi="ar"/>
              </w:rPr>
              <w:t>215.97</w:t>
            </w: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上级补助</w:t>
            </w:r>
            <w:r>
              <w:rPr>
                <w:rFonts w:ascii="仿宋_GB2312" w:hAnsi="宋体" w:eastAsia="仿宋_GB2312" w:cs="宋体"/>
                <w:kern w:val="0"/>
                <w:sz w:val="18"/>
                <w:szCs w:val="18"/>
                <w:highlight w:val="none"/>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单位其他资金收入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209 </w:t>
            </w:r>
            <w:r>
              <w:rPr>
                <w:rFonts w:hint="eastAsia" w:ascii="仿宋_GB2312" w:hAnsi="宋体" w:eastAsia="仿宋_GB2312" w:cs="宋体"/>
                <w:kern w:val="0"/>
                <w:sz w:val="18"/>
                <w:szCs w:val="18"/>
                <w:highlight w:val="none"/>
              </w:rPr>
              <w:t>社会</w:t>
            </w:r>
            <w:r>
              <w:rPr>
                <w:rFonts w:ascii="仿宋_GB2312" w:hAnsi="宋体" w:eastAsia="仿宋_GB2312" w:cs="宋体"/>
                <w:kern w:val="0"/>
                <w:sz w:val="18"/>
                <w:szCs w:val="18"/>
                <w:highlight w:val="none"/>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w:t>
            </w:r>
            <w:r>
              <w:rPr>
                <w:rFonts w:ascii="仿宋_GB2312" w:hAnsi="宋体" w:eastAsia="仿宋_GB2312" w:cs="宋体"/>
                <w:kern w:val="0"/>
                <w:sz w:val="18"/>
                <w:szCs w:val="18"/>
                <w:highlight w:val="none"/>
              </w:rPr>
              <w:t>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 xml:space="preserve">22 </w:t>
            </w:r>
            <w:r>
              <w:rPr>
                <w:rFonts w:hint="eastAsia" w:ascii="仿宋_GB2312" w:hAnsi="宋体" w:eastAsia="仿宋_GB2312" w:cs="宋体"/>
                <w:kern w:val="0"/>
                <w:sz w:val="18"/>
                <w:szCs w:val="18"/>
                <w:highlight w:val="none"/>
              </w:rPr>
              <w:t>粮油</w:t>
            </w:r>
            <w:r>
              <w:rPr>
                <w:rFonts w:ascii="仿宋_GB2312" w:hAnsi="宋体" w:eastAsia="仿宋_GB2312" w:cs="宋体"/>
                <w:kern w:val="0"/>
                <w:sz w:val="18"/>
                <w:szCs w:val="18"/>
                <w:highlight w:val="none"/>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highlight w:val="none"/>
              </w:rPr>
            </w:pPr>
            <w:r>
              <w:rPr>
                <w:rFonts w:hint="eastAsia" w:ascii="仿宋_GB2312" w:hAnsi="宋体" w:eastAsia="仿宋_GB2312" w:cs="宋体"/>
                <w:color w:val="000000"/>
                <w:kern w:val="0"/>
                <w:sz w:val="18"/>
                <w:szCs w:val="18"/>
                <w:highlight w:val="none"/>
                <w:lang w:bidi="ar"/>
              </w:rPr>
              <w:t>234 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highlight w:val="none"/>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hAnsi="宋体" w:eastAsia="仿宋_GB2312" w:cs="宋体"/>
                <w:kern w:val="0"/>
                <w:sz w:val="18"/>
                <w:szCs w:val="18"/>
                <w:highlight w:val="none"/>
                <w:lang w:bidi="ar"/>
              </w:rPr>
            </w:pP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20"/>
                <w:szCs w:val="20"/>
                <w:highlight w:val="none"/>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highlight w:val="none"/>
              </w:rPr>
            </w:pPr>
            <w:r>
              <w:rPr>
                <w:rFonts w:hint="eastAsia" w:ascii="宋体" w:hAnsi="宋体" w:eastAsia="宋体" w:cs="宋体"/>
                <w:i w:val="0"/>
                <w:color w:val="000000"/>
                <w:kern w:val="0"/>
                <w:sz w:val="20"/>
                <w:szCs w:val="20"/>
                <w:highlight w:val="none"/>
                <w:u w:val="none"/>
                <w:lang w:val="en-US" w:eastAsia="zh-CN" w:bidi="ar"/>
              </w:rPr>
              <w:t>215.97</w:t>
            </w: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highlight w:val="none"/>
              </w:rPr>
            </w:pPr>
            <w:r>
              <w:rPr>
                <w:rFonts w:hint="eastAsia" w:ascii="宋体" w:hAnsi="宋体" w:eastAsia="宋体" w:cs="宋体"/>
                <w:i w:val="0"/>
                <w:color w:val="000000"/>
                <w:kern w:val="0"/>
                <w:sz w:val="20"/>
                <w:szCs w:val="20"/>
                <w:highlight w:val="none"/>
                <w:u w:val="none"/>
                <w:lang w:val="en-US" w:eastAsia="zh-CN" w:bidi="ar"/>
              </w:rPr>
              <w:t>215.97</w:t>
            </w:r>
            <w:r>
              <w:rPr>
                <w:rFonts w:hint="eastAsia" w:ascii="仿宋_GB2312" w:hAnsi="宋体" w:eastAsia="仿宋_GB2312" w:cs="宋体"/>
                <w:kern w:val="0"/>
                <w:sz w:val="18"/>
                <w:szCs w:val="18"/>
                <w:highlight w:val="none"/>
              </w:rPr>
              <w:t>　</w:t>
            </w:r>
          </w:p>
        </w:tc>
      </w:tr>
    </w:tbl>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表二：</w:t>
      </w:r>
    </w:p>
    <w:p>
      <w:pPr>
        <w:widowControl/>
        <w:jc w:val="center"/>
        <w:outlineLvl w:val="1"/>
        <w:rPr>
          <w:rFonts w:ascii="仿宋_GB2312" w:hAnsi="宋体" w:eastAsia="仿宋_GB2312"/>
          <w:b/>
          <w:kern w:val="0"/>
          <w:sz w:val="32"/>
          <w:szCs w:val="32"/>
          <w:highlight w:val="none"/>
        </w:rPr>
      </w:pPr>
      <w:r>
        <w:rPr>
          <w:rFonts w:hint="eastAsia" w:ascii="黑体" w:hAnsi="黑体" w:eastAsia="黑体"/>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收入总体情况表</w:t>
      </w: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 w:val="24"/>
          <w:highlight w:val="none"/>
        </w:rPr>
        <w:t xml:space="preserve">          单位：万元</w:t>
      </w:r>
    </w:p>
    <w:tbl>
      <w:tblPr>
        <w:tblStyle w:val="7"/>
        <w:tblW w:w="10651" w:type="dxa"/>
        <w:tblInd w:w="-450" w:type="dxa"/>
        <w:tblLayout w:type="fixed"/>
        <w:tblCellMar>
          <w:top w:w="0" w:type="dxa"/>
          <w:left w:w="108" w:type="dxa"/>
          <w:bottom w:w="0" w:type="dxa"/>
          <w:right w:w="108" w:type="dxa"/>
        </w:tblCellMar>
      </w:tblPr>
      <w:tblGrid>
        <w:gridCol w:w="603"/>
        <w:gridCol w:w="435"/>
        <w:gridCol w:w="420"/>
        <w:gridCol w:w="1320"/>
        <w:gridCol w:w="870"/>
        <w:gridCol w:w="885"/>
        <w:gridCol w:w="448"/>
        <w:gridCol w:w="709"/>
        <w:gridCol w:w="709"/>
        <w:gridCol w:w="567"/>
        <w:gridCol w:w="567"/>
        <w:gridCol w:w="567"/>
        <w:gridCol w:w="567"/>
        <w:gridCol w:w="425"/>
        <w:gridCol w:w="709"/>
        <w:gridCol w:w="850"/>
      </w:tblGrid>
      <w:tr>
        <w:tblPrEx>
          <w:tblCellMar>
            <w:top w:w="0" w:type="dxa"/>
            <w:left w:w="108" w:type="dxa"/>
            <w:bottom w:w="0" w:type="dxa"/>
            <w:right w:w="108" w:type="dxa"/>
          </w:tblCellMar>
        </w:tblPrEx>
        <w:trPr>
          <w:trHeight w:val="2671" w:hRule="atLeast"/>
        </w:trPr>
        <w:tc>
          <w:tcPr>
            <w:tcW w:w="1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功能分类科目编码</w:t>
            </w:r>
          </w:p>
        </w:tc>
        <w:tc>
          <w:tcPr>
            <w:tcW w:w="132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功能分类科目名称</w:t>
            </w:r>
          </w:p>
        </w:tc>
        <w:tc>
          <w:tcPr>
            <w:tcW w:w="87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总  计</w:t>
            </w:r>
          </w:p>
        </w:tc>
        <w:tc>
          <w:tcPr>
            <w:tcW w:w="88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一般公共预算拨款</w:t>
            </w:r>
          </w:p>
        </w:tc>
        <w:tc>
          <w:tcPr>
            <w:tcW w:w="44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政府性基金预算拨款</w:t>
            </w:r>
          </w:p>
        </w:tc>
        <w:tc>
          <w:tcPr>
            <w:tcW w:w="7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hint="eastAsia" w:ascii="仿宋_GB2312" w:eastAsia="仿宋_GB2312"/>
                <w:b/>
                <w:color w:val="000000"/>
                <w:sz w:val="20"/>
                <w:szCs w:val="20"/>
                <w:highlight w:val="none"/>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事业收入</w:t>
            </w:r>
          </w:p>
        </w:tc>
        <w:tc>
          <w:tcPr>
            <w:tcW w:w="567"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级</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补助</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收</w:t>
            </w: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用事业基金弥补收支差额</w:t>
            </w:r>
          </w:p>
        </w:tc>
        <w:tc>
          <w:tcPr>
            <w:tcW w:w="8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单位上年结余（不包含国库集中支付额度</w:t>
            </w: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3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4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3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教育支出</w:t>
            </w: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3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4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p>
        </w:tc>
        <w:tc>
          <w:tcPr>
            <w:tcW w:w="13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成人教育</w:t>
            </w: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3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4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1320"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成人广播电视教育</w:t>
            </w: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8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465"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811"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r>
        <w:tblPrEx>
          <w:tblCellMar>
            <w:top w:w="0" w:type="dxa"/>
            <w:left w:w="108" w:type="dxa"/>
            <w:bottom w:w="0" w:type="dxa"/>
            <w:right w:w="108" w:type="dxa"/>
          </w:tblCellMar>
        </w:tblPrEx>
        <w:trPr>
          <w:trHeight w:val="681" w:hRule="atLeast"/>
        </w:trPr>
        <w:tc>
          <w:tcPr>
            <w:tcW w:w="60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3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highlight w:val="none"/>
              </w:rPr>
            </w:pPr>
            <w:r>
              <w:rPr>
                <w:rFonts w:hint="eastAsia" w:ascii="仿宋_GB2312" w:eastAsia="仿宋_GB2312"/>
                <w:b/>
                <w:bCs/>
                <w:color w:val="000000"/>
                <w:sz w:val="20"/>
                <w:szCs w:val="20"/>
                <w:highlight w:val="none"/>
              </w:rPr>
              <w:t>合  计</w:t>
            </w:r>
            <w:r>
              <w:rPr>
                <w:rFonts w:hint="eastAsia" w:ascii="仿宋_GB2312" w:eastAsia="仿宋_GB2312"/>
                <w:color w:val="000000"/>
                <w:sz w:val="20"/>
                <w:szCs w:val="20"/>
                <w:highlight w:val="none"/>
              </w:rPr>
              <w:t>　</w:t>
            </w:r>
          </w:p>
        </w:tc>
        <w:tc>
          <w:tcPr>
            <w:tcW w:w="87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r>
              <w:rPr>
                <w:rFonts w:hint="eastAsia" w:ascii="仿宋_GB2312" w:eastAsia="仿宋_GB2312"/>
                <w:color w:val="000000"/>
                <w:sz w:val="20"/>
                <w:szCs w:val="20"/>
                <w:highlight w:val="none"/>
              </w:rPr>
              <w:t>　</w:t>
            </w:r>
          </w:p>
        </w:tc>
        <w:tc>
          <w:tcPr>
            <w:tcW w:w="88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nil"/>
            </w:tcBorders>
          </w:tcPr>
          <w:p>
            <w:pPr>
              <w:jc w:val="right"/>
              <w:rPr>
                <w:rFonts w:hint="eastAsia"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nil"/>
            </w:tcBorders>
          </w:tcPr>
          <w:p>
            <w:pPr>
              <w:jc w:val="right"/>
              <w:rPr>
                <w:rFonts w:ascii="仿宋_GB2312" w:eastAsia="仿宋_GB2312"/>
                <w:color w:val="000000"/>
                <w:sz w:val="20"/>
                <w:szCs w:val="20"/>
                <w:highlight w:val="none"/>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c>
          <w:tcPr>
            <w:tcW w:w="8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highlight w:val="none"/>
              </w:rPr>
            </w:pPr>
          </w:p>
        </w:tc>
      </w:tr>
    </w:tbl>
    <w:p>
      <w:pPr>
        <w:widowControl/>
        <w:spacing w:line="280" w:lineRule="exact"/>
        <w:jc w:val="left"/>
        <w:outlineLvl w:val="1"/>
        <w:rPr>
          <w:rFonts w:hint="eastAsia" w:ascii="仿宋_GB2312" w:hAnsi="宋体" w:eastAsia="仿宋_GB2312"/>
          <w:b/>
          <w:kern w:val="0"/>
          <w:sz w:val="32"/>
          <w:szCs w:val="32"/>
          <w:highlight w:val="none"/>
        </w:rPr>
      </w:pPr>
    </w:p>
    <w:p>
      <w:pPr>
        <w:widowControl/>
        <w:spacing w:line="240" w:lineRule="auto"/>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表三：</w:t>
      </w:r>
    </w:p>
    <w:p>
      <w:pPr>
        <w:widowControl/>
        <w:spacing w:line="240" w:lineRule="auto"/>
        <w:jc w:val="center"/>
        <w:outlineLvl w:val="1"/>
        <w:rPr>
          <w:rFonts w:ascii="仿宋_GB2312" w:hAnsi="宋体" w:eastAsia="仿宋_GB2312"/>
          <w:b/>
          <w:kern w:val="0"/>
          <w:sz w:val="32"/>
          <w:szCs w:val="32"/>
          <w:highlight w:val="none"/>
        </w:rPr>
      </w:pPr>
      <w:r>
        <w:rPr>
          <w:rFonts w:hint="eastAsia" w:ascii="黑体" w:hAnsi="黑体" w:eastAsia="黑体"/>
          <w:kern w:val="0"/>
          <w:sz w:val="32"/>
          <w:szCs w:val="32"/>
          <w:highlight w:val="none"/>
          <w:lang w:eastAsia="zh-CN"/>
        </w:rPr>
        <w:t>克孜勒苏柯尔克孜自治州电教仪器站</w:t>
      </w:r>
      <w:r>
        <w:rPr>
          <w:rFonts w:hint="eastAsia" w:ascii="仿宋_GB2312" w:hAnsi="宋体" w:eastAsia="仿宋_GB2312"/>
          <w:b/>
          <w:kern w:val="0"/>
          <w:sz w:val="32"/>
          <w:szCs w:val="32"/>
          <w:highlight w:val="none"/>
        </w:rPr>
        <w:t>支出总体情况表</w:t>
      </w:r>
    </w:p>
    <w:p>
      <w:pPr>
        <w:widowControl/>
        <w:spacing w:line="280" w:lineRule="exact"/>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 w:val="24"/>
          <w:highlight w:val="none"/>
        </w:rPr>
        <w:t xml:space="preserve">          单位：万元</w:t>
      </w:r>
    </w:p>
    <w:tbl>
      <w:tblPr>
        <w:tblStyle w:val="7"/>
        <w:tblW w:w="9420" w:type="dxa"/>
        <w:tblInd w:w="-240" w:type="dxa"/>
        <w:tblLayout w:type="fixed"/>
        <w:tblCellMar>
          <w:top w:w="0" w:type="dxa"/>
          <w:left w:w="108" w:type="dxa"/>
          <w:bottom w:w="0" w:type="dxa"/>
          <w:right w:w="108" w:type="dxa"/>
        </w:tblCellMar>
      </w:tblPr>
      <w:tblGrid>
        <w:gridCol w:w="573"/>
        <w:gridCol w:w="450"/>
        <w:gridCol w:w="510"/>
        <w:gridCol w:w="2272"/>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支出预算</w:t>
            </w:r>
          </w:p>
        </w:tc>
      </w:tr>
      <w:tr>
        <w:tblPrEx>
          <w:tblCellMar>
            <w:top w:w="0" w:type="dxa"/>
            <w:left w:w="108" w:type="dxa"/>
            <w:bottom w:w="0" w:type="dxa"/>
            <w:right w:w="108" w:type="dxa"/>
          </w:tblCellMar>
        </w:tblPrEx>
        <w:trPr>
          <w:trHeight w:val="480" w:hRule="atLeast"/>
        </w:trPr>
        <w:tc>
          <w:tcPr>
            <w:tcW w:w="153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功能分类科目编码</w:t>
            </w:r>
          </w:p>
        </w:tc>
        <w:tc>
          <w:tcPr>
            <w:tcW w:w="227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项目支出</w:t>
            </w:r>
          </w:p>
        </w:tc>
      </w:tr>
      <w:tr>
        <w:tblPrEx>
          <w:tblCellMar>
            <w:top w:w="0" w:type="dxa"/>
            <w:left w:w="108" w:type="dxa"/>
            <w:bottom w:w="0" w:type="dxa"/>
            <w:right w:w="108" w:type="dxa"/>
          </w:tblCellMar>
        </w:tblPrEx>
        <w:trPr>
          <w:trHeight w:val="270"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类</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款</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项</w:t>
            </w:r>
          </w:p>
        </w:tc>
        <w:tc>
          <w:tcPr>
            <w:tcW w:w="227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450" w:type="dxa"/>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000000"/>
                <w:kern w:val="0"/>
                <w:sz w:val="16"/>
                <w:szCs w:val="16"/>
                <w:highlight w:val="none"/>
                <w:lang w:val="en-US" w:eastAsia="zh-CN" w:bidi="ar-SA"/>
              </w:rPr>
            </w:pPr>
          </w:p>
        </w:tc>
        <w:tc>
          <w:tcPr>
            <w:tcW w:w="510" w:type="dxa"/>
            <w:tcBorders>
              <w:top w:val="nil"/>
              <w:left w:val="nil"/>
              <w:bottom w:val="single" w:color="auto" w:sz="4" w:space="0"/>
              <w:right w:val="single" w:color="auto" w:sz="4" w:space="0"/>
            </w:tcBorders>
            <w:vAlign w:val="center"/>
          </w:tcPr>
          <w:p>
            <w:pPr>
              <w:jc w:val="center"/>
              <w:rPr>
                <w:rFonts w:hint="default" w:ascii="宋体" w:hAnsi="宋体" w:eastAsia="宋体" w:cs="宋体"/>
                <w:b/>
                <w:bCs/>
                <w:color w:val="000000"/>
                <w:kern w:val="0"/>
                <w:sz w:val="16"/>
                <w:szCs w:val="16"/>
                <w:highlight w:val="none"/>
                <w:lang w:val="en-US" w:eastAsia="zh-CN" w:bidi="ar-SA"/>
              </w:rPr>
            </w:pPr>
          </w:p>
        </w:tc>
        <w:tc>
          <w:tcPr>
            <w:tcW w:w="22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bCs/>
                <w:color w:val="000000"/>
                <w:kern w:val="0"/>
                <w:sz w:val="22"/>
                <w:szCs w:val="22"/>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教育支出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51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 xml:space="preserve">  成人教育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5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
                <w:bCs/>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22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18"/>
                <w:szCs w:val="18"/>
                <w:highlight w:val="none"/>
                <w:u w:val="none"/>
                <w:lang w:val="en-US" w:eastAsia="zh-CN" w:bidi="ar"/>
              </w:rPr>
              <w:t xml:space="preserve">    成人广播电视教育</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5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579" w:hRule="atLeast"/>
        </w:trPr>
        <w:tc>
          <w:tcPr>
            <w:tcW w:w="5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450"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51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227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r>
              <w:rPr>
                <w:rFonts w:hint="eastAsia" w:ascii="宋体" w:hAnsi="宋体" w:cs="宋体"/>
                <w:b/>
                <w:bCs/>
                <w:color w:val="000000"/>
                <w:kern w:val="0"/>
                <w:sz w:val="22"/>
                <w:szCs w:val="22"/>
                <w:highlight w:val="none"/>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r>
              <w:rPr>
                <w:rFonts w:hint="eastAsia" w:ascii="宋体" w:hAnsi="宋体" w:cs="宋体"/>
                <w:b/>
                <w:bCs/>
                <w:color w:val="000000"/>
                <w:kern w:val="0"/>
                <w:sz w:val="22"/>
                <w:szCs w:val="22"/>
                <w:highlight w:val="none"/>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highlight w:val="none"/>
              </w:rPr>
            </w:pPr>
            <w:r>
              <w:rPr>
                <w:rFonts w:hint="eastAsia" w:ascii="宋体" w:hAnsi="宋体" w:eastAsia="宋体" w:cs="宋体"/>
                <w:i w:val="0"/>
                <w:color w:val="000000"/>
                <w:kern w:val="0"/>
                <w:sz w:val="20"/>
                <w:szCs w:val="20"/>
                <w:highlight w:val="none"/>
                <w:u w:val="none"/>
                <w:lang w:val="en-US" w:eastAsia="zh-CN" w:bidi="ar"/>
              </w:rPr>
              <w:t>213.97</w:t>
            </w:r>
            <w:r>
              <w:rPr>
                <w:rFonts w:hint="eastAsia" w:ascii="宋体" w:hAnsi="宋体" w:cs="宋体"/>
                <w:b/>
                <w:bCs/>
                <w:color w:val="000000"/>
                <w:kern w:val="0"/>
                <w:sz w:val="22"/>
                <w:szCs w:val="22"/>
                <w:highlight w:val="none"/>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.00</w:t>
            </w:r>
            <w:r>
              <w:rPr>
                <w:rFonts w:hint="eastAsia" w:ascii="宋体" w:hAnsi="宋体" w:eastAsia="宋体" w:cs="宋体"/>
                <w:i w:val="0"/>
                <w:color w:val="000000"/>
                <w:kern w:val="0"/>
                <w:sz w:val="20"/>
                <w:szCs w:val="20"/>
                <w:highlight w:val="none"/>
                <w:u w:val="none"/>
                <w:lang w:val="en-US" w:eastAsia="zh-CN" w:bidi="ar"/>
              </w:rPr>
              <w:t>　</w:t>
            </w:r>
          </w:p>
        </w:tc>
      </w:tr>
    </w:tbl>
    <w:p>
      <w:pPr>
        <w:widowControl/>
        <w:spacing w:before="120" w:beforeLines="50" w:line="280" w:lineRule="exact"/>
        <w:outlineLvl w:val="1"/>
        <w:rPr>
          <w:rFonts w:hint="eastAsia" w:ascii="仿宋_GB2312" w:hAnsi="宋体" w:eastAsia="仿宋_GB2312"/>
          <w:b/>
          <w:kern w:val="0"/>
          <w:sz w:val="32"/>
          <w:szCs w:val="32"/>
          <w:highlight w:val="none"/>
        </w:rPr>
      </w:pPr>
    </w:p>
    <w:p>
      <w:pPr>
        <w:widowControl/>
        <w:spacing w:before="120" w:beforeLines="50" w:line="280" w:lineRule="exac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表四：</w:t>
      </w:r>
    </w:p>
    <w:p>
      <w:pPr>
        <w:widowControl/>
        <w:spacing w:before="120" w:beforeLines="50" w:line="280" w:lineRule="exact"/>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财政拨款收支预算总体情况表</w:t>
      </w:r>
    </w:p>
    <w:p>
      <w:pPr>
        <w:widowControl/>
        <w:spacing w:before="120" w:beforeLines="50" w:line="280" w:lineRule="exact"/>
        <w:outlineLvl w:val="1"/>
        <w:rPr>
          <w:rFonts w:ascii="仿宋_GB2312" w:hAnsi="宋体" w:eastAsia="仿宋_GB2312"/>
          <w:kern w:val="0"/>
          <w:szCs w:val="21"/>
          <w:highlight w:val="none"/>
        </w:rPr>
      </w:pPr>
      <w:r>
        <w:rPr>
          <w:rFonts w:hint="eastAsia" w:ascii="仿宋_GB2312" w:hAnsi="宋体" w:eastAsia="仿宋_GB2312"/>
          <w:kern w:val="0"/>
          <w:szCs w:val="21"/>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Cs w:val="21"/>
          <w:highlight w:val="none"/>
        </w:rPr>
        <w:t xml:space="preserve">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970"/>
        <w:gridCol w:w="101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97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01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5"/>
                <w:szCs w:val="15"/>
                <w:highlight w:val="none"/>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215.97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215.97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仿宋_GB2312" w:hAnsi="宋体" w:eastAsia="仿宋_GB2312" w:cs="宋体"/>
                <w:color w:val="000000"/>
                <w:kern w:val="0"/>
                <w:sz w:val="22"/>
                <w:szCs w:val="22"/>
                <w:highlight w:val="none"/>
              </w:rPr>
              <w:t>215.97</w:t>
            </w: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仿宋_GB2312" w:hAnsi="宋体" w:eastAsia="仿宋_GB2312" w:cs="宋体"/>
                <w:color w:val="000000"/>
                <w:kern w:val="0"/>
                <w:sz w:val="22"/>
                <w:szCs w:val="22"/>
                <w:highlight w:val="none"/>
              </w:rPr>
              <w:t>215.97</w:t>
            </w: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 医疗卫生</w:t>
            </w:r>
            <w:r>
              <w:rPr>
                <w:rFonts w:ascii="仿宋_GB2312" w:hAnsi="宋体" w:eastAsia="仿宋_GB2312" w:cs="宋体"/>
                <w:kern w:val="0"/>
                <w:sz w:val="18"/>
                <w:szCs w:val="18"/>
                <w:highlight w:val="none"/>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215.97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仿宋_GB2312" w:hAnsi="宋体" w:eastAsia="仿宋_GB2312" w:cs="宋体"/>
                <w:color w:val="000000"/>
                <w:kern w:val="0"/>
                <w:sz w:val="22"/>
                <w:szCs w:val="22"/>
                <w:highlight w:val="none"/>
              </w:rPr>
              <w:t>215.97</w:t>
            </w:r>
            <w:r>
              <w:rPr>
                <w:rFonts w:hint="eastAsia" w:ascii="宋体" w:hAnsi="宋体" w:cs="宋体"/>
                <w:color w:val="000000"/>
                <w:kern w:val="0"/>
                <w:sz w:val="22"/>
                <w:szCs w:val="22"/>
                <w:highlight w:val="none"/>
              </w:rPr>
              <w:t>　</w:t>
            </w:r>
          </w:p>
        </w:tc>
        <w:tc>
          <w:tcPr>
            <w:tcW w:w="9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仿宋_GB2312" w:hAnsi="宋体" w:eastAsia="仿宋_GB2312" w:cs="宋体"/>
                <w:color w:val="000000"/>
                <w:kern w:val="0"/>
                <w:sz w:val="22"/>
                <w:szCs w:val="22"/>
                <w:highlight w:val="none"/>
              </w:rPr>
              <w:t>215.97</w:t>
            </w:r>
            <w:r>
              <w:rPr>
                <w:rFonts w:hint="eastAsia" w:ascii="宋体" w:hAnsi="宋体" w:cs="宋体"/>
                <w:color w:val="000000"/>
                <w:kern w:val="0"/>
                <w:sz w:val="22"/>
                <w:szCs w:val="22"/>
                <w:highlight w:val="none"/>
              </w:rPr>
              <w:t>　</w:t>
            </w:r>
          </w:p>
        </w:tc>
        <w:tc>
          <w:tcPr>
            <w:tcW w:w="101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bl>
    <w:p>
      <w:pPr>
        <w:widowControl/>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531"/>
        <w:gridCol w:w="1311"/>
        <w:gridCol w:w="1701"/>
      </w:tblGrid>
      <w:tr>
        <w:tblPrEx>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一般公共预算支出情况表</w:t>
            </w:r>
          </w:p>
        </w:tc>
      </w:tr>
      <w:tr>
        <w:tblPrEx>
          <w:tblCellMar>
            <w:top w:w="0" w:type="dxa"/>
            <w:left w:w="108" w:type="dxa"/>
            <w:bottom w:w="0" w:type="dxa"/>
            <w:right w:w="108" w:type="dxa"/>
          </w:tblCellMar>
        </w:tblPrEx>
        <w:trPr>
          <w:trHeight w:val="285" w:hRule="atLeast"/>
        </w:trPr>
        <w:tc>
          <w:tcPr>
            <w:tcW w:w="6202" w:type="dxa"/>
            <w:gridSpan w:val="6"/>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p>
        </w:tc>
        <w:tc>
          <w:tcPr>
            <w:tcW w:w="3012"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项   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教育支出</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417"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 xml:space="preserve">  成人教育</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 xml:space="preserve">    成人广播电视教育</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215.97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2.00 </w:t>
            </w:r>
          </w:p>
        </w:tc>
      </w:tr>
    </w:tbl>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outlineLvl w:val="1"/>
        <w:rPr>
          <w:rFonts w:ascii="仿宋_GB2312" w:hAnsi="宋体" w:eastAsia="仿宋_GB2312"/>
          <w:b/>
          <w:kern w:val="0"/>
          <w:sz w:val="28"/>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一般公共预算基本支出情况表</w:t>
            </w:r>
          </w:p>
        </w:tc>
      </w:tr>
      <w:tr>
        <w:tblPrEx>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cs="宋体"/>
                <w:color w:val="000000"/>
                <w:kern w:val="0"/>
                <w:sz w:val="24"/>
                <w:highlight w:val="none"/>
              </w:rPr>
              <w:t xml:space="preserve">          </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基本工资</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73.68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73.68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津贴补贴</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71.74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71.74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奖金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6.14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6.14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机关事业单位基本养老保险缴费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21.56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其他社会保障缴费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12.76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12.76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住房公积金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15.48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15.48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0.30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劳务费</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工会经费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0.98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0.98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1.76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1.76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退休费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6.81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6.81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生活补助</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1.33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1.33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奖励金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0.43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  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213.97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209.93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4.04 </w:t>
            </w:r>
          </w:p>
        </w:tc>
      </w:tr>
    </w:tbl>
    <w:p>
      <w:pPr>
        <w:widowControl/>
        <w:outlineLvl w:val="1"/>
        <w:rPr>
          <w:rFonts w:ascii="仿宋_GB2312" w:hAnsi="宋体" w:eastAsia="仿宋_GB2312"/>
          <w:b/>
          <w:kern w:val="0"/>
          <w:sz w:val="28"/>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表七：</w:t>
      </w:r>
    </w:p>
    <w:tbl>
      <w:tblPr>
        <w:tblStyle w:val="7"/>
        <w:tblW w:w="9540" w:type="dxa"/>
        <w:tblInd w:w="-360" w:type="dxa"/>
        <w:tblLayout w:type="fixed"/>
        <w:tblCellMar>
          <w:top w:w="0" w:type="dxa"/>
          <w:left w:w="108" w:type="dxa"/>
          <w:bottom w:w="0" w:type="dxa"/>
          <w:right w:w="108" w:type="dxa"/>
        </w:tblCellMar>
      </w:tblPr>
      <w:tblGrid>
        <w:gridCol w:w="8"/>
        <w:gridCol w:w="550"/>
        <w:gridCol w:w="480"/>
        <w:gridCol w:w="480"/>
        <w:gridCol w:w="1050"/>
        <w:gridCol w:w="1245"/>
        <w:gridCol w:w="690"/>
        <w:gridCol w:w="450"/>
        <w:gridCol w:w="675"/>
        <w:gridCol w:w="377"/>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7027" w:type="dxa"/>
            <w:gridSpan w:val="11"/>
            <w:tcBorders>
              <w:top w:val="nil"/>
              <w:left w:val="nil"/>
              <w:bottom w:val="nil"/>
              <w:right w:val="nil"/>
            </w:tcBorders>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cs="宋体"/>
                <w:color w:val="000000"/>
                <w:kern w:val="0"/>
                <w:sz w:val="24"/>
                <w:highlight w:val="none"/>
              </w:rPr>
              <w:t xml:space="preserve">      </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8" w:type="dxa"/>
            <w:gridSpan w:val="4"/>
            <w:noWrap/>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 目 编 码</w:t>
            </w:r>
          </w:p>
        </w:tc>
        <w:tc>
          <w:tcPr>
            <w:tcW w:w="1050" w:type="dxa"/>
            <w:vMerge w:val="restart"/>
            <w:noWrap/>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科目</w:t>
            </w:r>
          </w:p>
        </w:tc>
        <w:tc>
          <w:tcPr>
            <w:tcW w:w="1245" w:type="dxa"/>
            <w:vMerge w:val="restart"/>
            <w:noWrap/>
            <w:vAlign w:val="center"/>
          </w:tcPr>
          <w:p>
            <w:pPr>
              <w:jc w:val="center"/>
              <w:rPr>
                <w:rFonts w:ascii="Calibri" w:hAnsi="Calibri"/>
                <w:sz w:val="24"/>
                <w:highlight w:val="none"/>
              </w:rPr>
            </w:pPr>
            <w:r>
              <w:rPr>
                <w:rFonts w:hint="eastAsia" w:ascii="仿宋_GB2312" w:hAnsi="宋体" w:eastAsia="仿宋_GB2312"/>
                <w:b/>
                <w:kern w:val="0"/>
                <w:sz w:val="24"/>
                <w:highlight w:val="none"/>
              </w:rPr>
              <w:t>项目名称</w:t>
            </w:r>
          </w:p>
        </w:tc>
        <w:tc>
          <w:tcPr>
            <w:tcW w:w="69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项目支出合计</w:t>
            </w:r>
          </w:p>
        </w:tc>
        <w:tc>
          <w:tcPr>
            <w:tcW w:w="45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工资福利支出</w:t>
            </w:r>
          </w:p>
        </w:tc>
        <w:tc>
          <w:tcPr>
            <w:tcW w:w="675"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商品和服务支出</w:t>
            </w:r>
          </w:p>
        </w:tc>
        <w:tc>
          <w:tcPr>
            <w:tcW w:w="377"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w:t>
            </w:r>
          </w:p>
        </w:tc>
        <w:tc>
          <w:tcPr>
            <w:tcW w:w="578"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w:t>
            </w:r>
          </w:p>
        </w:tc>
        <w:tc>
          <w:tcPr>
            <w:tcW w:w="420" w:type="dxa"/>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58"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类</w:t>
            </w:r>
          </w:p>
        </w:tc>
        <w:tc>
          <w:tcPr>
            <w:tcW w:w="480" w:type="dxa"/>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款</w:t>
            </w:r>
          </w:p>
        </w:tc>
        <w:tc>
          <w:tcPr>
            <w:tcW w:w="480" w:type="dxa"/>
            <w:tcBorders>
              <w:bottom w:val="single" w:color="auto" w:sz="4" w:space="0"/>
            </w:tcBorders>
            <w:noWrap/>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w:t>
            </w:r>
          </w:p>
        </w:tc>
        <w:tc>
          <w:tcPr>
            <w:tcW w:w="105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highlight w:val="none"/>
              </w:rPr>
            </w:pPr>
          </w:p>
        </w:tc>
        <w:tc>
          <w:tcPr>
            <w:tcW w:w="1245"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9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5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75"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377"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80" w:type="dxa"/>
            <w:vAlign w:val="center"/>
          </w:tcPr>
          <w:p>
            <w:pPr>
              <w:jc w:val="center"/>
              <w:rPr>
                <w:rFonts w:ascii="仿宋_GB2312" w:hAnsi="宋体" w:eastAsia="仿宋_GB2312"/>
                <w:kern w:val="0"/>
                <w:sz w:val="32"/>
                <w:szCs w:val="32"/>
                <w:highlight w:val="none"/>
              </w:rPr>
            </w:pPr>
          </w:p>
        </w:tc>
        <w:tc>
          <w:tcPr>
            <w:tcW w:w="480" w:type="dxa"/>
            <w:vAlign w:val="center"/>
          </w:tcPr>
          <w:p>
            <w:pPr>
              <w:jc w:val="center"/>
              <w:rPr>
                <w:rFonts w:ascii="仿宋_GB2312" w:hAnsi="宋体" w:eastAsia="仿宋_GB2312"/>
                <w:kern w:val="0"/>
                <w:sz w:val="32"/>
                <w:szCs w:val="32"/>
                <w:highlight w:val="none"/>
              </w:rPr>
            </w:pPr>
          </w:p>
        </w:tc>
        <w:tc>
          <w:tcPr>
            <w:tcW w:w="1050" w:type="dxa"/>
            <w:vAlign w:val="center"/>
          </w:tcPr>
          <w:p>
            <w:pPr>
              <w:keepNext w:val="0"/>
              <w:keepLines w:val="0"/>
              <w:widowControl/>
              <w:suppressLineNumbers w:val="0"/>
              <w:jc w:val="lef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教育支出</w:t>
            </w:r>
          </w:p>
        </w:tc>
        <w:tc>
          <w:tcPr>
            <w:tcW w:w="1245" w:type="dxa"/>
            <w:vAlign w:val="center"/>
          </w:tcPr>
          <w:p>
            <w:pPr>
              <w:jc w:val="left"/>
              <w:rPr>
                <w:rFonts w:ascii="仿宋_GB2312" w:hAnsi="宋体" w:eastAsia="仿宋_GB2312"/>
                <w:kern w:val="0"/>
                <w:sz w:val="32"/>
                <w:szCs w:val="32"/>
                <w:highlight w:val="none"/>
              </w:rPr>
            </w:pPr>
          </w:p>
        </w:tc>
        <w:tc>
          <w:tcPr>
            <w:tcW w:w="690"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450" w:type="dxa"/>
            <w:vAlign w:val="center"/>
          </w:tcPr>
          <w:p>
            <w:pPr>
              <w:jc w:val="right"/>
              <w:rPr>
                <w:rFonts w:ascii="仿宋_GB2312" w:hAnsi="宋体" w:eastAsia="仿宋_GB2312"/>
                <w:kern w:val="0"/>
                <w:sz w:val="32"/>
                <w:szCs w:val="32"/>
                <w:highlight w:val="none"/>
              </w:rPr>
            </w:pPr>
          </w:p>
        </w:tc>
        <w:tc>
          <w:tcPr>
            <w:tcW w:w="675"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vAlign w:val="center"/>
          </w:tcPr>
          <w:p>
            <w:pPr>
              <w:keepNext w:val="0"/>
              <w:keepLines w:val="0"/>
              <w:widowControl/>
              <w:suppressLineNumbers w:val="0"/>
              <w:jc w:val="center"/>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80" w:type="dxa"/>
            <w:vAlign w:val="center"/>
          </w:tcPr>
          <w:p>
            <w:pPr>
              <w:keepNext w:val="0"/>
              <w:keepLines w:val="0"/>
              <w:widowControl/>
              <w:suppressLineNumbers w:val="0"/>
              <w:jc w:val="center"/>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480" w:type="dxa"/>
            <w:vAlign w:val="center"/>
          </w:tcPr>
          <w:p>
            <w:pPr>
              <w:jc w:val="center"/>
              <w:rPr>
                <w:rFonts w:ascii="仿宋_GB2312" w:hAnsi="宋体" w:eastAsia="仿宋_GB2312"/>
                <w:kern w:val="0"/>
                <w:sz w:val="32"/>
                <w:szCs w:val="32"/>
                <w:highlight w:val="none"/>
              </w:rPr>
            </w:pPr>
          </w:p>
        </w:tc>
        <w:tc>
          <w:tcPr>
            <w:tcW w:w="1050" w:type="dxa"/>
            <w:vAlign w:val="center"/>
          </w:tcPr>
          <w:p>
            <w:pPr>
              <w:keepNext w:val="0"/>
              <w:keepLines w:val="0"/>
              <w:widowControl/>
              <w:suppressLineNumbers w:val="0"/>
              <w:jc w:val="lef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成人教育</w:t>
            </w:r>
          </w:p>
        </w:tc>
        <w:tc>
          <w:tcPr>
            <w:tcW w:w="1245" w:type="dxa"/>
            <w:vAlign w:val="center"/>
          </w:tcPr>
          <w:p>
            <w:pPr>
              <w:jc w:val="left"/>
              <w:rPr>
                <w:rFonts w:ascii="仿宋_GB2312" w:hAnsi="宋体" w:eastAsia="仿宋_GB2312"/>
                <w:kern w:val="0"/>
                <w:sz w:val="32"/>
                <w:szCs w:val="32"/>
                <w:highlight w:val="none"/>
              </w:rPr>
            </w:pPr>
          </w:p>
        </w:tc>
        <w:tc>
          <w:tcPr>
            <w:tcW w:w="690"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450" w:type="dxa"/>
            <w:vAlign w:val="center"/>
          </w:tcPr>
          <w:p>
            <w:pPr>
              <w:jc w:val="right"/>
              <w:rPr>
                <w:rFonts w:ascii="仿宋_GB2312" w:hAnsi="宋体" w:eastAsia="仿宋_GB2312"/>
                <w:kern w:val="0"/>
                <w:sz w:val="32"/>
                <w:szCs w:val="32"/>
                <w:highlight w:val="none"/>
              </w:rPr>
            </w:pPr>
          </w:p>
        </w:tc>
        <w:tc>
          <w:tcPr>
            <w:tcW w:w="675"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vAlign w:val="center"/>
          </w:tcPr>
          <w:p>
            <w:pPr>
              <w:keepNext w:val="0"/>
              <w:keepLines w:val="0"/>
              <w:widowControl/>
              <w:suppressLineNumbers w:val="0"/>
              <w:jc w:val="both"/>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205</w:t>
            </w:r>
          </w:p>
        </w:tc>
        <w:tc>
          <w:tcPr>
            <w:tcW w:w="480" w:type="dxa"/>
            <w:vAlign w:val="center"/>
          </w:tcPr>
          <w:p>
            <w:pPr>
              <w:keepNext w:val="0"/>
              <w:keepLines w:val="0"/>
              <w:widowControl/>
              <w:suppressLineNumbers w:val="0"/>
              <w:jc w:val="both"/>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480" w:type="dxa"/>
            <w:vAlign w:val="center"/>
          </w:tcPr>
          <w:p>
            <w:pPr>
              <w:keepNext w:val="0"/>
              <w:keepLines w:val="0"/>
              <w:widowControl/>
              <w:suppressLineNumbers w:val="0"/>
              <w:jc w:val="center"/>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04</w:t>
            </w:r>
          </w:p>
        </w:tc>
        <w:tc>
          <w:tcPr>
            <w:tcW w:w="1050" w:type="dxa"/>
            <w:vAlign w:val="center"/>
          </w:tcPr>
          <w:p>
            <w:pPr>
              <w:keepNext w:val="0"/>
              <w:keepLines w:val="0"/>
              <w:widowControl/>
              <w:suppressLineNumbers w:val="0"/>
              <w:jc w:val="lef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成人广播电视教育</w:t>
            </w:r>
          </w:p>
        </w:tc>
        <w:tc>
          <w:tcPr>
            <w:tcW w:w="1245" w:type="dxa"/>
            <w:vAlign w:val="center"/>
          </w:tcPr>
          <w:p>
            <w:pPr>
              <w:keepNext w:val="0"/>
              <w:keepLines w:val="0"/>
              <w:widowControl/>
              <w:suppressLineNumbers w:val="0"/>
              <w:jc w:val="lef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教师计算机考试费</w:t>
            </w:r>
          </w:p>
        </w:tc>
        <w:tc>
          <w:tcPr>
            <w:tcW w:w="690"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450" w:type="dxa"/>
            <w:vAlign w:val="center"/>
          </w:tcPr>
          <w:p>
            <w:pPr>
              <w:jc w:val="right"/>
              <w:rPr>
                <w:rFonts w:ascii="仿宋_GB2312" w:hAnsi="宋体" w:eastAsia="仿宋_GB2312"/>
                <w:kern w:val="0"/>
                <w:sz w:val="32"/>
                <w:szCs w:val="32"/>
                <w:highlight w:val="none"/>
              </w:rPr>
            </w:pPr>
          </w:p>
        </w:tc>
        <w:tc>
          <w:tcPr>
            <w:tcW w:w="675" w:type="dxa"/>
            <w:vAlign w:val="center"/>
          </w:tcPr>
          <w:p>
            <w:pPr>
              <w:keepNext w:val="0"/>
              <w:keepLines w:val="0"/>
              <w:widowControl/>
              <w:suppressLineNumbers w:val="0"/>
              <w:jc w:val="right"/>
              <w:textAlignment w:val="center"/>
              <w:rPr>
                <w:rFonts w:ascii="仿宋_GB2312" w:hAnsi="宋体" w:eastAsia="仿宋_GB2312"/>
                <w:kern w:val="0"/>
                <w:sz w:val="32"/>
                <w:szCs w:val="32"/>
                <w:highlight w:val="none"/>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9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75"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5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8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05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245" w:type="dxa"/>
            <w:vAlign w:val="center"/>
          </w:tcPr>
          <w:p>
            <w:pPr>
              <w:widowControl/>
              <w:jc w:val="center"/>
              <w:outlineLvl w:val="1"/>
              <w:rPr>
                <w:rFonts w:ascii="仿宋_GB2312" w:hAnsi="宋体" w:eastAsia="仿宋_GB2312"/>
                <w:kern w:val="0"/>
                <w:sz w:val="32"/>
                <w:szCs w:val="32"/>
                <w:highlight w:val="none"/>
              </w:rPr>
            </w:pPr>
            <w:r>
              <w:rPr>
                <w:rFonts w:hint="eastAsia" w:ascii="仿宋_GB2312" w:hAnsi="宋体" w:eastAsia="仿宋_GB2312"/>
                <w:b/>
                <w:bCs/>
                <w:kern w:val="0"/>
                <w:szCs w:val="21"/>
                <w:highlight w:val="none"/>
              </w:rPr>
              <w:t>合 计</w:t>
            </w:r>
          </w:p>
        </w:tc>
        <w:tc>
          <w:tcPr>
            <w:tcW w:w="690" w:type="dxa"/>
            <w:vAlign w:val="center"/>
          </w:tcPr>
          <w:p>
            <w:pPr>
              <w:keepNext w:val="0"/>
              <w:keepLines w:val="0"/>
              <w:widowControl/>
              <w:suppressLineNumbers w:val="0"/>
              <w:jc w:val="right"/>
              <w:textAlignment w:val="center"/>
              <w:rPr>
                <w:rFonts w:hint="eastAsia" w:ascii="仿宋_GB2312" w:hAnsi="宋体" w:eastAsia="仿宋_GB2312"/>
                <w:kern w:val="0"/>
                <w:szCs w:val="21"/>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450" w:type="dxa"/>
            <w:vAlign w:val="center"/>
          </w:tcPr>
          <w:p>
            <w:pPr>
              <w:jc w:val="right"/>
              <w:rPr>
                <w:rFonts w:ascii="仿宋_GB2312" w:hAnsi="宋体" w:eastAsia="仿宋_GB2312"/>
                <w:kern w:val="0"/>
                <w:sz w:val="32"/>
                <w:szCs w:val="32"/>
                <w:highlight w:val="none"/>
              </w:rPr>
            </w:pPr>
          </w:p>
        </w:tc>
        <w:tc>
          <w:tcPr>
            <w:tcW w:w="675" w:type="dxa"/>
            <w:vAlign w:val="center"/>
          </w:tcPr>
          <w:p>
            <w:pPr>
              <w:keepNext w:val="0"/>
              <w:keepLines w:val="0"/>
              <w:widowControl/>
              <w:suppressLineNumbers w:val="0"/>
              <w:jc w:val="right"/>
              <w:textAlignment w:val="center"/>
              <w:rPr>
                <w:rFonts w:hint="eastAsia" w:ascii="仿宋_GB2312" w:hAnsi="宋体" w:eastAsia="仿宋_GB2312"/>
                <w:kern w:val="0"/>
                <w:sz w:val="32"/>
                <w:szCs w:val="32"/>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 xml:space="preserve">2.00 </w:t>
            </w:r>
          </w:p>
        </w:tc>
        <w:tc>
          <w:tcPr>
            <w:tcW w:w="377"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bl>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表八：</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一般公共预算“三公”经费支出情况表</w:t>
      </w:r>
    </w:p>
    <w:p>
      <w:pPr>
        <w:widowControl/>
        <w:jc w:val="center"/>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 w:val="24"/>
          <w:highlight w:val="none"/>
        </w:rPr>
        <w:t xml:space="preserve">        </w:t>
      </w:r>
      <w:r>
        <w:rPr>
          <w:rFonts w:hint="eastAsia" w:ascii="仿宋_GB2312" w:hAnsi="宋体" w:eastAsia="仿宋_GB2312"/>
          <w:kern w:val="0"/>
          <w:sz w:val="24"/>
          <w:highlight w:val="none"/>
          <w:lang w:val="en-US" w:eastAsia="zh-CN"/>
        </w:rPr>
        <w:t xml:space="preserve">    </w:t>
      </w:r>
      <w:r>
        <w:rPr>
          <w:rFonts w:hint="eastAsia" w:ascii="仿宋_GB2312" w:hAnsi="宋体" w:eastAsia="仿宋_GB2312"/>
          <w:kern w:val="0"/>
          <w:sz w:val="24"/>
          <w:highlight w:val="none"/>
        </w:rPr>
        <w:t>单位：万元</w:t>
      </w:r>
    </w:p>
    <w:tbl>
      <w:tblPr>
        <w:tblStyle w:val="7"/>
        <w:tblW w:w="0" w:type="auto"/>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1.00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1.00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1.00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bl>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spacing w:line="280" w:lineRule="exact"/>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表九：</w:t>
      </w:r>
    </w:p>
    <w:p>
      <w:pPr>
        <w:widowControl/>
        <w:spacing w:line="240" w:lineRule="auto"/>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政府性基金预算支出情况表</w:t>
      </w:r>
    </w:p>
    <w:p>
      <w:pPr>
        <w:widowControl/>
        <w:spacing w:line="280" w:lineRule="exac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编制部门（单位）：</w:t>
      </w:r>
      <w:r>
        <w:rPr>
          <w:rFonts w:hint="eastAsia" w:ascii="仿宋_GB2312" w:hAnsi="宋体" w:eastAsia="仿宋_GB2312"/>
          <w:kern w:val="0"/>
          <w:sz w:val="24"/>
          <w:highlight w:val="none"/>
          <w:lang w:eastAsia="zh-CN"/>
        </w:rPr>
        <w:t>克孜勒苏柯尔克孜自治州电教仪器站</w:t>
      </w:r>
      <w:r>
        <w:rPr>
          <w:rFonts w:hint="eastAsia" w:ascii="仿宋_GB2312" w:hAnsi="宋体" w:eastAsia="仿宋_GB2312"/>
          <w:kern w:val="0"/>
          <w:sz w:val="24"/>
          <w:highlight w:val="none"/>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highlight w:val="none"/>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highlight w:val="none"/>
              </w:rPr>
            </w:pPr>
            <w:r>
              <w:rPr>
                <w:rFonts w:hint="eastAsia" w:ascii="仿宋_GB2312" w:hAnsi="宋体" w:eastAsia="仿宋_GB2312" w:cs="宋体"/>
                <w:b/>
                <w:bCs/>
                <w:color w:val="000000"/>
                <w:kern w:val="0"/>
                <w:sz w:val="24"/>
                <w:highlight w:val="none"/>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bl>
    <w:p>
      <w:pPr>
        <w:widowControl/>
        <w:jc w:val="left"/>
        <w:outlineLvl w:val="1"/>
        <w:rPr>
          <w:rFonts w:hint="eastAsia" w:ascii="仿宋_GB2312" w:hAnsi="宋体" w:eastAsia="仿宋_GB2312"/>
          <w:kern w:val="0"/>
          <w:sz w:val="32"/>
          <w:szCs w:val="32"/>
          <w:highlight w:val="none"/>
          <w:lang w:eastAsia="zh-CN"/>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highlight w:val="none"/>
        </w:rPr>
        <w:t>备注：</w:t>
      </w:r>
      <w:r>
        <w:rPr>
          <w:rFonts w:hint="eastAsia" w:ascii="仿宋_GB2312" w:hAnsi="宋体" w:eastAsia="仿宋_GB2312"/>
          <w:kern w:val="0"/>
          <w:sz w:val="32"/>
          <w:szCs w:val="32"/>
          <w:highlight w:val="none"/>
          <w:lang w:eastAsia="zh-CN"/>
        </w:rPr>
        <w:t>克孜勒苏柯尔克孜自治州电教仪器站</w:t>
      </w:r>
      <w:r>
        <w:rPr>
          <w:rFonts w:hint="eastAsia" w:ascii="仿宋_GB2312" w:hAnsi="宋体" w:eastAsia="仿宋_GB2312"/>
          <w:kern w:val="0"/>
          <w:sz w:val="32"/>
          <w:szCs w:val="32"/>
          <w:highlight w:val="none"/>
          <w:lang w:val="en-US" w:eastAsia="zh-CN"/>
        </w:rPr>
        <w:t>2021</w:t>
      </w:r>
      <w:r>
        <w:rPr>
          <w:rFonts w:hint="eastAsia" w:ascii="仿宋_GB2312" w:hAnsi="宋体" w:eastAsia="仿宋_GB2312"/>
          <w:kern w:val="0"/>
          <w:sz w:val="32"/>
          <w:szCs w:val="32"/>
          <w:highlight w:val="none"/>
        </w:rPr>
        <w:t>年没有使用政府性基金预算拨款安排的支出，故此表为空表</w:t>
      </w:r>
      <w:r>
        <w:rPr>
          <w:rFonts w:hint="eastAsia" w:ascii="仿宋_GB2312" w:hAnsi="宋体" w:eastAsia="仿宋_GB2312"/>
          <w:kern w:val="0"/>
          <w:sz w:val="32"/>
          <w:szCs w:val="32"/>
          <w:highlight w:val="none"/>
          <w:lang w:eastAsia="zh-CN"/>
        </w:rPr>
        <w:t>。</w:t>
      </w:r>
    </w:p>
    <w:p>
      <w:pPr>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 xml:space="preserve">第三部分   </w:t>
      </w:r>
      <w:r>
        <w:rPr>
          <w:rFonts w:hint="eastAsia" w:ascii="黑体" w:hAnsi="黑体" w:eastAsia="黑体"/>
          <w:kern w:val="0"/>
          <w:sz w:val="32"/>
          <w:szCs w:val="32"/>
          <w:highlight w:val="none"/>
          <w:lang w:val="en-US" w:eastAsia="zh-CN"/>
        </w:rPr>
        <w:t>2021</w:t>
      </w:r>
      <w:r>
        <w:rPr>
          <w:rFonts w:hint="eastAsia" w:ascii="黑体" w:hAnsi="黑体" w:eastAsia="黑体"/>
          <w:kern w:val="0"/>
          <w:sz w:val="32"/>
          <w:szCs w:val="32"/>
          <w:highlight w:val="none"/>
        </w:rPr>
        <w:t>年</w:t>
      </w:r>
      <w:r>
        <w:rPr>
          <w:rFonts w:hint="eastAsia" w:ascii="黑体" w:hAnsi="黑体" w:eastAsia="黑体"/>
          <w:kern w:val="0"/>
          <w:sz w:val="32"/>
          <w:szCs w:val="32"/>
          <w:highlight w:val="none"/>
          <w:lang w:eastAsia="zh-CN"/>
        </w:rPr>
        <w:t>克孜勒苏柯尔克孜自治州电教仪器站</w:t>
      </w:r>
      <w:r>
        <w:rPr>
          <w:rFonts w:hint="eastAsia" w:ascii="黑体" w:hAnsi="黑体" w:eastAsia="黑体"/>
          <w:kern w:val="0"/>
          <w:sz w:val="32"/>
          <w:szCs w:val="32"/>
          <w:highlight w:val="none"/>
          <w:lang w:val="en-US" w:eastAsia="zh-CN"/>
        </w:rPr>
        <w:t xml:space="preserve"> </w:t>
      </w:r>
      <w:r>
        <w:rPr>
          <w:rFonts w:hint="eastAsia" w:ascii="黑体" w:hAnsi="黑体" w:eastAsia="黑体"/>
          <w:kern w:val="0"/>
          <w:sz w:val="32"/>
          <w:szCs w:val="32"/>
          <w:highlight w:val="none"/>
        </w:rPr>
        <w:t>预算情况说明</w:t>
      </w:r>
    </w:p>
    <w:p>
      <w:pPr>
        <w:spacing w:line="560" w:lineRule="exact"/>
        <w:ind w:firstLine="640" w:firstLineChars="200"/>
        <w:rPr>
          <w:rFonts w:ascii="黑体" w:hAnsi="宋体" w:eastAsia="黑体" w:cs="宋体"/>
          <w:kern w:val="0"/>
          <w:sz w:val="32"/>
          <w:szCs w:val="32"/>
          <w:highlight w:val="none"/>
        </w:rPr>
      </w:pPr>
      <w:r>
        <w:rPr>
          <w:rFonts w:hint="eastAsia" w:ascii="黑体" w:hAnsi="黑体" w:eastAsia="黑体" w:cs="宋体"/>
          <w:bCs/>
          <w:kern w:val="0"/>
          <w:sz w:val="32"/>
          <w:szCs w:val="32"/>
          <w:highlight w:val="none"/>
        </w:rPr>
        <w:t>一、</w:t>
      </w:r>
      <w:r>
        <w:rPr>
          <w:rFonts w:hint="eastAsia" w:ascii="黑体" w:hAnsi="宋体" w:eastAsia="黑体" w:cs="宋体"/>
          <w:kern w:val="0"/>
          <w:sz w:val="32"/>
          <w:szCs w:val="32"/>
          <w:highlight w:val="none"/>
        </w:rPr>
        <w:t>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按照全口径预算的原则，</w:t>
      </w: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年所有收入和支出均纳入部门（单位）预算管理。收支总预算215.97万元。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收入预算包括：一般公共预算215.97</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、政府性基金预算</w:t>
      </w:r>
      <w:r>
        <w:rPr>
          <w:rFonts w:hint="eastAsia" w:ascii="仿宋_GB2312" w:hAnsi="宋体" w:eastAsia="仿宋_GB2312" w:cs="宋体"/>
          <w:kern w:val="0"/>
          <w:sz w:val="32"/>
          <w:szCs w:val="32"/>
          <w:highlight w:val="none"/>
          <w:lang w:val="en-US" w:eastAsia="zh-CN"/>
        </w:rPr>
        <w:t>0万元</w:t>
      </w:r>
      <w:r>
        <w:rPr>
          <w:rFonts w:hint="eastAsia" w:ascii="仿宋_GB2312" w:hAnsi="宋体" w:eastAsia="仿宋_GB2312" w:cs="宋体"/>
          <w:kern w:val="0"/>
          <w:sz w:val="32"/>
          <w:szCs w:val="32"/>
          <w:highlight w:val="none"/>
        </w:rPr>
        <w:t>、国有</w:t>
      </w:r>
      <w:r>
        <w:rPr>
          <w:rFonts w:ascii="仿宋_GB2312" w:hAnsi="宋体" w:eastAsia="仿宋_GB2312" w:cs="宋体"/>
          <w:kern w:val="0"/>
          <w:sz w:val="32"/>
          <w:szCs w:val="32"/>
          <w:highlight w:val="none"/>
        </w:rPr>
        <w:t>资金经营预算</w:t>
      </w:r>
      <w:r>
        <w:rPr>
          <w:rFonts w:hint="eastAsia" w:ascii="仿宋_GB2312" w:hAnsi="宋体" w:eastAsia="仿宋_GB2312" w:cs="宋体"/>
          <w:kern w:val="0"/>
          <w:sz w:val="32"/>
          <w:szCs w:val="32"/>
          <w:highlight w:val="none"/>
          <w:lang w:val="en-US" w:eastAsia="zh-CN"/>
        </w:rPr>
        <w:t>0万元</w:t>
      </w:r>
      <w:r>
        <w:rPr>
          <w:rFonts w:hint="eastAsia" w:ascii="仿宋_GB2312" w:hAnsi="宋体" w:eastAsia="仿宋_GB2312" w:cs="宋体"/>
          <w:kern w:val="0"/>
          <w:sz w:val="32"/>
          <w:szCs w:val="32"/>
          <w:highlight w:val="none"/>
        </w:rPr>
        <w:t>。</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支出预算包括：教育支出215.97</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二、关于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rPr>
        <w:t>收入预算215.97万元，其中：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一般公共预算215.97万元，占</w:t>
      </w:r>
      <w:r>
        <w:rPr>
          <w:rFonts w:hint="eastAsia" w:ascii="仿宋_GB2312" w:hAnsi="宋体" w:eastAsia="仿宋_GB2312" w:cs="宋体"/>
          <w:kern w:val="0"/>
          <w:sz w:val="32"/>
          <w:szCs w:val="32"/>
          <w:highlight w:val="none"/>
          <w:lang w:val="en-US" w:eastAsia="zh-CN"/>
        </w:rPr>
        <w:t>100</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22.84</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本年度预算较上年度减少</w:t>
      </w:r>
      <w:r>
        <w:rPr>
          <w:rFonts w:hint="eastAsia" w:ascii="仿宋_GB2312" w:hAnsi="宋体" w:eastAsia="仿宋_GB2312" w:cs="宋体"/>
          <w:kern w:val="0"/>
          <w:sz w:val="32"/>
          <w:szCs w:val="32"/>
          <w:highlight w:val="none"/>
          <w:lang w:val="en-US" w:eastAsia="zh-CN"/>
        </w:rPr>
        <w:t>2人</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r>
        <w:rPr>
          <w:rFonts w:hint="eastAsia" w:ascii="仿宋" w:hAnsi="仿宋" w:eastAsia="仿宋" w:cs="仿宋"/>
          <w:kern w:val="0"/>
          <w:sz w:val="32"/>
          <w:szCs w:val="32"/>
          <w:highlight w:val="none"/>
          <w:lang w:eastAsia="zh-CN"/>
        </w:rPr>
        <w:t>。</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年支出预算情况说明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年支出预算    215.97万元，其中：</w:t>
      </w:r>
    </w:p>
    <w:p>
      <w:pPr>
        <w:spacing w:line="560" w:lineRule="exact"/>
        <w:ind w:firstLine="640" w:firstLineChars="200"/>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213.97</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99.07</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22.84</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本年度预算较上年度减少</w:t>
      </w:r>
      <w:r>
        <w:rPr>
          <w:rFonts w:hint="eastAsia" w:ascii="仿宋_GB2312" w:hAnsi="宋体" w:eastAsia="仿宋_GB2312" w:cs="宋体"/>
          <w:kern w:val="0"/>
          <w:sz w:val="32"/>
          <w:szCs w:val="32"/>
          <w:highlight w:val="none"/>
          <w:lang w:val="en-US" w:eastAsia="zh-CN"/>
        </w:rPr>
        <w:t>2人</w:t>
      </w:r>
      <w:r>
        <w:rPr>
          <w:rFonts w:hint="eastAsia" w:ascii="仿宋_GB2312" w:hAnsi="宋体" w:eastAsia="仿宋_GB2312" w:cs="宋体"/>
          <w:kern w:val="0"/>
          <w:sz w:val="32"/>
          <w:szCs w:val="32"/>
          <w:highlight w:val="none"/>
        </w:rPr>
        <w:t>。</w:t>
      </w:r>
    </w:p>
    <w:p>
      <w:pPr>
        <w:spacing w:line="560" w:lineRule="exact"/>
        <w:ind w:firstLine="640" w:firstLineChars="200"/>
        <w:rPr>
          <w:rFonts w:hint="eastAsia" w:ascii="仿宋_GB2312" w:hAnsi="宋体" w:eastAsia="仿宋_GB2312" w:cs="宋体"/>
          <w:kern w:val="0"/>
          <w:sz w:val="32"/>
          <w:szCs w:val="32"/>
          <w:highlight w:val="none"/>
        </w:rPr>
      </w:pPr>
      <w:r>
        <w:rPr>
          <w:rFonts w:ascii="仿宋_GB2312" w:hAnsi="宋体" w:eastAsia="仿宋_GB2312" w:cs="宋体"/>
          <w:color w:val="auto"/>
          <w:kern w:val="0"/>
          <w:sz w:val="32"/>
          <w:szCs w:val="32"/>
          <w:highlight w:val="none"/>
        </w:rPr>
        <w:t>项目</w:t>
      </w:r>
      <w:r>
        <w:rPr>
          <w:rFonts w:hint="eastAsia" w:ascii="仿宋_GB2312" w:hAnsi="宋体" w:eastAsia="仿宋_GB2312" w:cs="宋体"/>
          <w:color w:val="auto"/>
          <w:kern w:val="0"/>
          <w:sz w:val="32"/>
          <w:szCs w:val="32"/>
          <w:highlight w:val="none"/>
        </w:rPr>
        <w:t>支出</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万元</w:t>
      </w:r>
      <w:r>
        <w:rPr>
          <w:rFonts w:ascii="仿宋_GB2312" w:hAnsi="宋体" w:eastAsia="仿宋_GB2312" w:cs="宋体"/>
          <w:color w:val="auto"/>
          <w:kern w:val="0"/>
          <w:sz w:val="32"/>
          <w:szCs w:val="32"/>
          <w:highlight w:val="none"/>
        </w:rPr>
        <w:t>，比</w:t>
      </w:r>
      <w:r>
        <w:rPr>
          <w:rFonts w:hint="eastAsia" w:ascii="仿宋_GB2312" w:hAnsi="宋体" w:eastAsia="仿宋_GB2312" w:cs="宋体"/>
          <w:color w:val="auto"/>
          <w:kern w:val="0"/>
          <w:sz w:val="32"/>
          <w:szCs w:val="32"/>
          <w:highlight w:val="none"/>
        </w:rPr>
        <w:t>上年</w:t>
      </w:r>
      <w:r>
        <w:rPr>
          <w:rFonts w:ascii="仿宋_GB2312" w:hAnsi="宋体" w:eastAsia="仿宋_GB2312" w:cs="宋体"/>
          <w:color w:val="auto"/>
          <w:kern w:val="0"/>
          <w:sz w:val="32"/>
          <w:szCs w:val="32"/>
          <w:highlight w:val="none"/>
        </w:rPr>
        <w:t>预算增加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本年度项目无变动，项目资金与上年数一致</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黑体" w:eastAsia="黑体" w:cs="宋体"/>
          <w:bCs/>
          <w:kern w:val="0"/>
          <w:sz w:val="32"/>
          <w:szCs w:val="32"/>
          <w:highlight w:val="none"/>
        </w:rPr>
        <w:t>年财政拨款收支预算情况的总体说明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年财政拨款收支总预算215.97万元。</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收入预算包括：一般公共预算拨款215.97万元。</w:t>
      </w:r>
    </w:p>
    <w:p>
      <w:pPr>
        <w:spacing w:line="550" w:lineRule="exact"/>
        <w:ind w:firstLine="640" w:firstLineChars="200"/>
        <w:rPr>
          <w:rFonts w:hint="eastAsia" w:ascii="仿宋_GB2312" w:hAnsi="宋体" w:eastAsia="仿宋" w:cs="宋体"/>
          <w:spacing w:val="-6"/>
          <w:kern w:val="0"/>
          <w:sz w:val="32"/>
          <w:szCs w:val="32"/>
          <w:highlight w:val="none"/>
          <w:lang w:eastAsia="zh-CN"/>
        </w:rPr>
      </w:pPr>
      <w:bookmarkStart w:id="0" w:name="_GoBack"/>
      <w:r>
        <w:rPr>
          <w:rFonts w:hint="eastAsia" w:ascii="仿宋_GB2312" w:hAnsi="宋体" w:eastAsia="仿宋_GB2312" w:cs="宋体"/>
          <w:kern w:val="0"/>
          <w:sz w:val="32"/>
          <w:szCs w:val="32"/>
          <w:highlight w:val="none"/>
          <w:lang w:val="en-US" w:eastAsia="zh-CN"/>
        </w:rPr>
        <w:t>一般公共预算支出包括：</w:t>
      </w:r>
      <w:bookmarkEnd w:id="0"/>
      <w:r>
        <w:rPr>
          <w:rFonts w:hint="eastAsia" w:ascii="仿宋" w:hAnsi="仿宋" w:eastAsia="仿宋" w:cs="仿宋"/>
          <w:kern w:val="0"/>
          <w:sz w:val="32"/>
          <w:szCs w:val="32"/>
          <w:highlight w:val="none"/>
        </w:rPr>
        <w:t>教育支</w:t>
      </w:r>
      <w:r>
        <w:rPr>
          <w:rFonts w:hint="eastAsia" w:ascii="仿宋_GB2312" w:hAnsi="宋体" w:eastAsia="仿宋_GB2312" w:cs="宋体"/>
          <w:spacing w:val="-6"/>
          <w:kern w:val="0"/>
          <w:sz w:val="32"/>
          <w:szCs w:val="32"/>
          <w:highlight w:val="none"/>
        </w:rPr>
        <w:t>出</w:t>
      </w:r>
      <w:r>
        <w:rPr>
          <w:rFonts w:hint="eastAsia" w:ascii="仿宋_GB2312" w:hAnsi="宋体" w:eastAsia="仿宋_GB2312" w:cs="宋体"/>
          <w:kern w:val="0"/>
          <w:sz w:val="32"/>
          <w:szCs w:val="32"/>
          <w:highlight w:val="none"/>
        </w:rPr>
        <w:t>215.97</w:t>
      </w:r>
      <w:r>
        <w:rPr>
          <w:rFonts w:hint="eastAsia" w:ascii="仿宋_GB2312" w:hAnsi="宋体" w:eastAsia="仿宋_GB2312" w:cs="宋体"/>
          <w:spacing w:val="-6"/>
          <w:kern w:val="0"/>
          <w:sz w:val="32"/>
          <w:szCs w:val="32"/>
          <w:highlight w:val="none"/>
        </w:rPr>
        <w:t>万元</w:t>
      </w:r>
      <w:r>
        <w:rPr>
          <w:rFonts w:hint="eastAsia" w:ascii="仿宋" w:hAnsi="仿宋" w:eastAsia="仿宋" w:cs="仿宋"/>
          <w:kern w:val="0"/>
          <w:sz w:val="32"/>
          <w:szCs w:val="32"/>
          <w:highlight w:val="none"/>
        </w:rPr>
        <w:t>，主要用于职工工资、津贴补贴、社会保障缴费、住房公积金</w:t>
      </w:r>
      <w:r>
        <w:rPr>
          <w:rFonts w:hint="eastAsia" w:ascii="仿宋" w:hAnsi="仿宋" w:eastAsia="仿宋" w:cs="仿宋"/>
          <w:kern w:val="0"/>
          <w:sz w:val="32"/>
          <w:szCs w:val="32"/>
          <w:highlight w:val="none"/>
          <w:lang w:eastAsia="zh-CN"/>
        </w:rPr>
        <w:t>、教师计算机培训</w:t>
      </w:r>
      <w:r>
        <w:rPr>
          <w:rFonts w:hint="eastAsia" w:ascii="仿宋" w:hAnsi="仿宋" w:eastAsia="仿宋" w:cs="仿宋"/>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五、关于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年一般公共预算当年拨款情况说明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年一般公共预算拨款</w:t>
      </w:r>
      <w:r>
        <w:rPr>
          <w:rFonts w:hint="eastAsia" w:ascii="仿宋_GB2312" w:hAnsi="宋体" w:eastAsia="仿宋_GB2312" w:cs="宋体"/>
          <w:kern w:val="0"/>
          <w:sz w:val="32"/>
          <w:szCs w:val="32"/>
          <w:highlight w:val="none"/>
          <w:lang w:eastAsia="zh-CN"/>
        </w:rPr>
        <w:t>合计</w:t>
      </w:r>
      <w:r>
        <w:rPr>
          <w:rFonts w:hint="eastAsia" w:ascii="仿宋_GB2312" w:hAnsi="宋体" w:eastAsia="仿宋_GB2312" w:cs="宋体"/>
          <w:kern w:val="0"/>
          <w:sz w:val="32"/>
          <w:szCs w:val="32"/>
          <w:highlight w:val="none"/>
          <w:lang w:val="en-US" w:eastAsia="zh-CN"/>
        </w:rPr>
        <w:t>215.97</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rPr>
        <w:t>213.967万元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eastAsia="zh-CN"/>
        </w:rPr>
        <w:t>预算数</w:t>
      </w:r>
      <w:r>
        <w:rPr>
          <w:rFonts w:hint="eastAsia" w:ascii="仿宋_GB2312" w:hAnsi="宋体" w:eastAsia="仿宋_GB2312" w:cs="宋体"/>
          <w:color w:val="auto"/>
          <w:kern w:val="0"/>
          <w:sz w:val="32"/>
          <w:szCs w:val="32"/>
          <w:highlight w:val="none"/>
        </w:rPr>
        <w:t>23</w:t>
      </w:r>
      <w:r>
        <w:rPr>
          <w:rFonts w:hint="eastAsia" w:ascii="仿宋_GB2312" w:hAnsi="宋体" w:eastAsia="仿宋_GB2312" w:cs="宋体"/>
          <w:color w:val="auto"/>
          <w:kern w:val="0"/>
          <w:sz w:val="32"/>
          <w:szCs w:val="32"/>
          <w:highlight w:val="none"/>
          <w:lang w:val="en-US" w:eastAsia="zh-CN"/>
        </w:rPr>
        <w:t>6</w:t>
      </w:r>
      <w:r>
        <w:rPr>
          <w:rFonts w:hint="eastAsia" w:ascii="仿宋_GB2312" w:hAnsi="宋体" w:eastAsia="仿宋_GB2312" w:cs="宋体"/>
          <w:color w:val="auto"/>
          <w:kern w:val="0"/>
          <w:sz w:val="32"/>
          <w:szCs w:val="32"/>
          <w:highlight w:val="none"/>
        </w:rPr>
        <w:t>.8</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万元减少</w:t>
      </w:r>
      <w:r>
        <w:rPr>
          <w:rFonts w:hint="eastAsia" w:ascii="仿宋_GB2312" w:hAnsi="宋体" w:eastAsia="仿宋_GB2312" w:cs="宋体"/>
          <w:color w:val="auto"/>
          <w:kern w:val="0"/>
          <w:sz w:val="32"/>
          <w:szCs w:val="32"/>
          <w:highlight w:val="none"/>
          <w:lang w:val="en-US" w:eastAsia="zh-CN"/>
        </w:rPr>
        <w:t>22.84</w:t>
      </w:r>
      <w:r>
        <w:rPr>
          <w:rFonts w:hint="eastAsia" w:ascii="仿宋_GB2312" w:hAnsi="宋体" w:eastAsia="仿宋_GB2312" w:cs="宋体"/>
          <w:color w:val="auto"/>
          <w:kern w:val="0"/>
          <w:sz w:val="32"/>
          <w:szCs w:val="32"/>
          <w:highlight w:val="none"/>
        </w:rPr>
        <w:t>万元，下降</w:t>
      </w:r>
      <w:r>
        <w:rPr>
          <w:rFonts w:hint="eastAsia" w:ascii="仿宋_GB2312" w:hAnsi="宋体" w:eastAsia="仿宋_GB2312" w:cs="宋体"/>
          <w:color w:val="auto"/>
          <w:kern w:val="0"/>
          <w:sz w:val="32"/>
          <w:szCs w:val="32"/>
          <w:highlight w:val="none"/>
          <w:lang w:val="en-US" w:eastAsia="zh-CN"/>
        </w:rPr>
        <w:t>9.56</w:t>
      </w:r>
      <w:r>
        <w:rPr>
          <w:rFonts w:hint="eastAsia" w:ascii="仿宋_GB2312" w:hAnsi="宋体" w:eastAsia="仿宋_GB2312" w:cs="宋体"/>
          <w:color w:val="auto"/>
          <w:kern w:val="0"/>
          <w:sz w:val="32"/>
          <w:szCs w:val="32"/>
          <w:highlight w:val="none"/>
        </w:rPr>
        <w:t>%。主要原因是：</w:t>
      </w:r>
      <w:r>
        <w:rPr>
          <w:rFonts w:hint="eastAsia" w:ascii="仿宋_GB2312" w:hAnsi="宋体" w:eastAsia="仿宋_GB2312" w:cs="宋体"/>
          <w:color w:val="auto"/>
          <w:kern w:val="0"/>
          <w:sz w:val="32"/>
          <w:szCs w:val="32"/>
          <w:highlight w:val="none"/>
          <w:lang w:eastAsia="zh-CN"/>
        </w:rPr>
        <w:t>本年数人员减少</w:t>
      </w:r>
      <w:r>
        <w:rPr>
          <w:rFonts w:hint="eastAsia" w:ascii="仿宋_GB2312" w:hAnsi="宋体" w:eastAsia="仿宋_GB2312" w:cs="宋体"/>
          <w:color w:val="auto"/>
          <w:kern w:val="0"/>
          <w:sz w:val="32"/>
          <w:szCs w:val="32"/>
          <w:highlight w:val="none"/>
          <w:lang w:val="en-US" w:eastAsia="zh-CN"/>
        </w:rPr>
        <w:t>2人。</w:t>
      </w:r>
      <w:r>
        <w:rPr>
          <w:rFonts w:ascii="仿宋_GB2312" w:hAnsi="宋体" w:eastAsia="仿宋_GB2312" w:cs="宋体"/>
          <w:color w:val="auto"/>
          <w:kern w:val="0"/>
          <w:sz w:val="32"/>
          <w:szCs w:val="32"/>
          <w:highlight w:val="none"/>
        </w:rPr>
        <w:t>项目</w:t>
      </w:r>
      <w:r>
        <w:rPr>
          <w:rFonts w:hint="eastAsia" w:ascii="仿宋_GB2312" w:hAnsi="宋体" w:eastAsia="仿宋_GB2312" w:cs="宋体"/>
          <w:color w:val="auto"/>
          <w:kern w:val="0"/>
          <w:sz w:val="32"/>
          <w:szCs w:val="32"/>
          <w:highlight w:val="none"/>
        </w:rPr>
        <w:t>支出</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万元</w:t>
      </w:r>
      <w:r>
        <w:rPr>
          <w:rFonts w:ascii="仿宋_GB2312" w:hAnsi="宋体" w:eastAsia="仿宋_GB2312" w:cs="宋体"/>
          <w:color w:val="auto"/>
          <w:kern w:val="0"/>
          <w:sz w:val="32"/>
          <w:szCs w:val="32"/>
          <w:highlight w:val="none"/>
        </w:rPr>
        <w:t>，比</w:t>
      </w:r>
      <w:r>
        <w:rPr>
          <w:rFonts w:hint="eastAsia" w:ascii="仿宋_GB2312" w:hAnsi="宋体" w:eastAsia="仿宋_GB2312" w:cs="宋体"/>
          <w:color w:val="auto"/>
          <w:kern w:val="0"/>
          <w:sz w:val="32"/>
          <w:szCs w:val="32"/>
          <w:highlight w:val="none"/>
        </w:rPr>
        <w:t>上年</w:t>
      </w:r>
      <w:r>
        <w:rPr>
          <w:rFonts w:ascii="仿宋_GB2312" w:hAnsi="宋体" w:eastAsia="仿宋_GB2312" w:cs="宋体"/>
          <w:color w:val="auto"/>
          <w:kern w:val="0"/>
          <w:sz w:val="32"/>
          <w:szCs w:val="32"/>
          <w:highlight w:val="none"/>
        </w:rPr>
        <w:t>预算增加</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本年度项目无变动，项目资金与上年数一致</w:t>
      </w:r>
      <w:r>
        <w:rPr>
          <w:rFonts w:hint="eastAsia" w:ascii="仿宋_GB2312" w:hAnsi="宋体" w:eastAsia="仿宋_GB2312" w:cs="宋体"/>
          <w:kern w:val="0"/>
          <w:sz w:val="32"/>
          <w:szCs w:val="32"/>
          <w:highlight w:val="none"/>
        </w:rPr>
        <w:t>。</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（二）一般公共预算当年拨款结构情况</w:t>
      </w:r>
    </w:p>
    <w:p>
      <w:pPr>
        <w:spacing w:line="550" w:lineRule="exact"/>
        <w:ind w:firstLine="627" w:firstLineChars="196"/>
        <w:rPr>
          <w:rFonts w:hint="eastAsia" w:ascii="仿宋" w:hAnsi="仿宋" w:eastAsia="仿宋" w:cs="仿宋"/>
          <w:kern w:val="0"/>
          <w:sz w:val="32"/>
          <w:szCs w:val="32"/>
          <w:highlight w:val="none"/>
        </w:rPr>
      </w:pPr>
      <w:r>
        <w:rPr>
          <w:rFonts w:hint="eastAsia" w:ascii="仿宋" w:hAnsi="仿宋" w:eastAsia="仿宋" w:cs="仿宋"/>
          <w:sz w:val="32"/>
          <w:szCs w:val="32"/>
          <w:highlight w:val="none"/>
        </w:rPr>
        <w:t>教育支出（类</w:t>
      </w:r>
      <w:r>
        <w:rPr>
          <w:rFonts w:hint="eastAsia" w:ascii="仿宋" w:hAnsi="仿宋" w:eastAsia="仿宋" w:cs="仿宋"/>
          <w:sz w:val="32"/>
          <w:szCs w:val="32"/>
          <w:highlight w:val="none"/>
          <w:lang w:val="en-US" w:eastAsia="zh-CN"/>
        </w:rPr>
        <w:t>:205</w:t>
      </w:r>
      <w:r>
        <w:rPr>
          <w:rFonts w:hint="eastAsia" w:ascii="仿宋" w:hAnsi="仿宋" w:eastAsia="仿宋" w:cs="仿宋"/>
          <w:sz w:val="32"/>
          <w:szCs w:val="32"/>
          <w:highlight w:val="none"/>
        </w:rPr>
        <w:t>）</w:t>
      </w:r>
      <w:r>
        <w:rPr>
          <w:rFonts w:hint="eastAsia" w:ascii="仿宋_GB2312" w:hAnsi="宋体" w:eastAsia="仿宋_GB2312" w:cs="宋体"/>
          <w:kern w:val="0"/>
          <w:sz w:val="32"/>
          <w:szCs w:val="32"/>
          <w:highlight w:val="none"/>
        </w:rPr>
        <w:t>215.97</w:t>
      </w:r>
      <w:r>
        <w:rPr>
          <w:rFonts w:hint="eastAsia" w:ascii="仿宋" w:hAnsi="仿宋" w:eastAsia="仿宋" w:cs="仿宋"/>
          <w:kern w:val="0"/>
          <w:sz w:val="32"/>
          <w:szCs w:val="32"/>
          <w:highlight w:val="none"/>
        </w:rPr>
        <w:t>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highlight w:val="none"/>
          <w:lang w:val="en-US" w:eastAsia="zh-CN"/>
        </w:rPr>
        <w:t>。</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（三）一般公共预算当年拨款具体使用情况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 w:hAnsi="仿宋" w:eastAsia="仿宋" w:cs="仿宋"/>
          <w:sz w:val="32"/>
          <w:szCs w:val="32"/>
          <w:highlight w:val="none"/>
        </w:rPr>
        <w:t>教育支出（类</w:t>
      </w:r>
      <w:r>
        <w:rPr>
          <w:rFonts w:hint="eastAsia" w:ascii="仿宋" w:hAnsi="仿宋" w:eastAsia="仿宋" w:cs="仿宋"/>
          <w:sz w:val="32"/>
          <w:szCs w:val="32"/>
          <w:highlight w:val="none"/>
          <w:lang w:val="en-US" w:eastAsia="zh-CN"/>
        </w:rPr>
        <w:t>:205</w:t>
      </w:r>
      <w:r>
        <w:rPr>
          <w:rFonts w:hint="eastAsia" w:ascii="仿宋" w:hAnsi="仿宋" w:eastAsia="仿宋" w:cs="仿宋"/>
          <w:sz w:val="32"/>
          <w:szCs w:val="32"/>
          <w:highlight w:val="none"/>
        </w:rPr>
        <w:t>）成人教育</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成人广播电视教育</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2021年预算数</w:t>
      </w:r>
      <w:r>
        <w:rPr>
          <w:rFonts w:hint="eastAsia" w:ascii="仿宋_GB2312" w:hAnsi="宋体" w:eastAsia="仿宋_GB2312" w:cs="宋体"/>
          <w:kern w:val="0"/>
          <w:sz w:val="32"/>
          <w:szCs w:val="32"/>
          <w:highlight w:val="none"/>
        </w:rPr>
        <w:t>215.97</w:t>
      </w:r>
      <w:r>
        <w:rPr>
          <w:rFonts w:hint="eastAsia" w:ascii="仿宋" w:hAnsi="仿宋" w:eastAsia="仿宋" w:cs="仿宋"/>
          <w:kern w:val="0"/>
          <w:sz w:val="32"/>
          <w:szCs w:val="32"/>
          <w:highlight w:val="none"/>
        </w:rPr>
        <w:t>万元，</w:t>
      </w:r>
      <w:r>
        <w:rPr>
          <w:rFonts w:hint="eastAsia" w:ascii="仿宋_GB2312" w:hAnsi="宋体" w:eastAsia="仿宋_GB2312" w:cs="宋体"/>
          <w:kern w:val="0"/>
          <w:sz w:val="32"/>
          <w:szCs w:val="32"/>
          <w:highlight w:val="none"/>
        </w:rPr>
        <w:t>比上年预算减少</w:t>
      </w:r>
      <w:r>
        <w:rPr>
          <w:rFonts w:hint="eastAsia" w:ascii="仿宋_GB2312" w:hAnsi="宋体" w:eastAsia="仿宋_GB2312" w:cs="宋体"/>
          <w:kern w:val="0"/>
          <w:sz w:val="32"/>
          <w:szCs w:val="32"/>
          <w:highlight w:val="none"/>
          <w:lang w:val="en-US" w:eastAsia="zh-CN"/>
        </w:rPr>
        <w:t>22.84</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本年度预算较上年度减少</w:t>
      </w:r>
      <w:r>
        <w:rPr>
          <w:rFonts w:hint="eastAsia" w:ascii="仿宋_GB2312" w:hAnsi="宋体" w:eastAsia="仿宋_GB2312" w:cs="宋体"/>
          <w:kern w:val="0"/>
          <w:sz w:val="32"/>
          <w:szCs w:val="32"/>
          <w:highlight w:val="none"/>
          <w:lang w:val="en-US" w:eastAsia="zh-CN"/>
        </w:rPr>
        <w:t>2人。</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六、关于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年一般公共预算基本支出情况说明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年一般公共预算基本支出</w:t>
      </w:r>
      <w:r>
        <w:rPr>
          <w:rFonts w:hint="eastAsia" w:ascii="仿宋_GB2312" w:hAnsi="宋体" w:eastAsia="仿宋_GB2312" w:cs="宋体"/>
          <w:kern w:val="0"/>
          <w:sz w:val="32"/>
          <w:szCs w:val="32"/>
          <w:highlight w:val="none"/>
          <w:lang w:val="en-US" w:eastAsia="zh-CN"/>
        </w:rPr>
        <w:t>213.97</w:t>
      </w:r>
      <w:r>
        <w:rPr>
          <w:rFonts w:hint="eastAsia" w:ascii="仿宋_GB2312" w:hAnsi="宋体" w:eastAsia="仿宋_GB2312" w:cs="宋体"/>
          <w:kern w:val="0"/>
          <w:sz w:val="32"/>
          <w:szCs w:val="32"/>
          <w:highlight w:val="none"/>
        </w:rPr>
        <w:t>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w:t>
      </w:r>
      <w:r>
        <w:rPr>
          <w:rFonts w:hint="eastAsia" w:ascii="仿宋_GB2312" w:hAnsi="宋体" w:eastAsia="仿宋_GB2312" w:cs="宋体"/>
          <w:kern w:val="0"/>
          <w:sz w:val="32"/>
          <w:szCs w:val="32"/>
          <w:highlight w:val="none"/>
          <w:lang w:val="en-US" w:eastAsia="zh-CN"/>
        </w:rPr>
        <w:t>209.93</w:t>
      </w:r>
      <w:r>
        <w:rPr>
          <w:rFonts w:hint="eastAsia" w:ascii="仿宋_GB2312" w:hAnsi="宋体" w:eastAsia="仿宋_GB2312" w:cs="宋体"/>
          <w:kern w:val="0"/>
          <w:sz w:val="32"/>
          <w:szCs w:val="32"/>
          <w:highlight w:val="none"/>
        </w:rPr>
        <w:t>万元，主要包括：基本工资73.6</w:t>
      </w:r>
      <w:r>
        <w:rPr>
          <w:rFonts w:hint="eastAsia" w:ascii="仿宋_GB2312" w:hAnsi="宋体" w:eastAsia="仿宋_GB2312" w:cs="宋体"/>
          <w:kern w:val="0"/>
          <w:sz w:val="32"/>
          <w:szCs w:val="32"/>
          <w:highlight w:val="none"/>
          <w:lang w:val="en-US" w:eastAsia="zh-CN"/>
        </w:rPr>
        <w:t>8</w:t>
      </w:r>
      <w:r>
        <w:rPr>
          <w:rFonts w:hint="eastAsia" w:ascii="仿宋_GB2312" w:hAnsi="宋体" w:eastAsia="仿宋_GB2312" w:cs="宋体"/>
          <w:kern w:val="0"/>
          <w:sz w:val="32"/>
          <w:szCs w:val="32"/>
          <w:highlight w:val="none"/>
        </w:rPr>
        <w:t>万元、津贴补贴71.74万元、奖金6.1</w:t>
      </w:r>
      <w:r>
        <w:rPr>
          <w:rFonts w:hint="eastAsia" w:ascii="仿宋_GB2312" w:hAnsi="宋体" w:eastAsia="仿宋_GB2312" w:cs="宋体"/>
          <w:kern w:val="0"/>
          <w:sz w:val="32"/>
          <w:szCs w:val="32"/>
          <w:highlight w:val="none"/>
          <w:lang w:val="en-US" w:eastAsia="zh-CN"/>
        </w:rPr>
        <w:t>4</w:t>
      </w:r>
      <w:r>
        <w:rPr>
          <w:rFonts w:hint="eastAsia" w:ascii="仿宋_GB2312" w:hAnsi="宋体" w:eastAsia="仿宋_GB2312" w:cs="宋体"/>
          <w:kern w:val="0"/>
          <w:sz w:val="32"/>
          <w:szCs w:val="32"/>
          <w:highlight w:val="none"/>
        </w:rPr>
        <w:t>万元、机关事业单位基本养老保险缴费21.5</w:t>
      </w:r>
      <w:r>
        <w:rPr>
          <w:rFonts w:hint="eastAsia" w:ascii="仿宋_GB2312" w:hAnsi="宋体" w:eastAsia="仿宋_GB2312" w:cs="宋体"/>
          <w:kern w:val="0"/>
          <w:sz w:val="32"/>
          <w:szCs w:val="32"/>
          <w:highlight w:val="none"/>
          <w:lang w:val="en-US" w:eastAsia="zh-CN"/>
        </w:rPr>
        <w:t>6</w:t>
      </w:r>
      <w:r>
        <w:rPr>
          <w:rFonts w:hint="eastAsia" w:ascii="仿宋_GB2312" w:hAnsi="宋体" w:eastAsia="仿宋_GB2312" w:cs="宋体"/>
          <w:kern w:val="0"/>
          <w:sz w:val="32"/>
          <w:szCs w:val="32"/>
          <w:highlight w:val="none"/>
        </w:rPr>
        <w:t>万元、其他社会保障缴费12.7</w:t>
      </w:r>
      <w:r>
        <w:rPr>
          <w:rFonts w:hint="eastAsia" w:ascii="仿宋_GB2312" w:hAnsi="宋体" w:eastAsia="仿宋_GB2312" w:cs="宋体"/>
          <w:kern w:val="0"/>
          <w:sz w:val="32"/>
          <w:szCs w:val="32"/>
          <w:highlight w:val="none"/>
          <w:lang w:val="en-US" w:eastAsia="zh-CN"/>
        </w:rPr>
        <w:t>6</w:t>
      </w:r>
      <w:r>
        <w:rPr>
          <w:rFonts w:hint="eastAsia" w:ascii="仿宋_GB2312" w:hAnsi="宋体" w:eastAsia="仿宋_GB2312" w:cs="宋体"/>
          <w:kern w:val="0"/>
          <w:sz w:val="32"/>
          <w:szCs w:val="32"/>
          <w:highlight w:val="none"/>
        </w:rPr>
        <w:t>万元、住房公积金15.4</w:t>
      </w:r>
      <w:r>
        <w:rPr>
          <w:rFonts w:hint="eastAsia" w:ascii="仿宋_GB2312" w:hAnsi="宋体" w:eastAsia="仿宋_GB2312" w:cs="宋体"/>
          <w:kern w:val="0"/>
          <w:sz w:val="32"/>
          <w:szCs w:val="32"/>
          <w:highlight w:val="none"/>
          <w:lang w:val="en-US" w:eastAsia="zh-CN"/>
        </w:rPr>
        <w:t>8</w:t>
      </w:r>
      <w:r>
        <w:rPr>
          <w:rFonts w:hint="eastAsia" w:ascii="仿宋_GB2312" w:hAnsi="宋体" w:eastAsia="仿宋_GB2312" w:cs="宋体"/>
          <w:kern w:val="0"/>
          <w:sz w:val="32"/>
          <w:szCs w:val="32"/>
          <w:highlight w:val="none"/>
        </w:rPr>
        <w:t>万元、退休费6.81万元、生活补助1.33万元、奖励金0.43万元。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公用经费</w:t>
      </w:r>
      <w:r>
        <w:rPr>
          <w:rFonts w:hint="eastAsia" w:ascii="仿宋_GB2312" w:hAnsi="宋体" w:eastAsia="仿宋_GB2312" w:cs="宋体"/>
          <w:kern w:val="0"/>
          <w:sz w:val="32"/>
          <w:szCs w:val="32"/>
          <w:highlight w:val="none"/>
          <w:lang w:val="en-US" w:eastAsia="zh-CN"/>
        </w:rPr>
        <w:t>4.04</w:t>
      </w:r>
      <w:r>
        <w:rPr>
          <w:rFonts w:hint="eastAsia" w:ascii="仿宋_GB2312" w:hAnsi="宋体" w:eastAsia="仿宋_GB2312" w:cs="宋体"/>
          <w:kern w:val="0"/>
          <w:sz w:val="32"/>
          <w:szCs w:val="32"/>
          <w:highlight w:val="none"/>
        </w:rPr>
        <w:t>万元，主要包括：办公费0.3万元、工会经费0.98万元、福利费1.76万元、公务用车运行维护费</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七、关于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年一般公共预算项目支出情况说明</w:t>
      </w:r>
    </w:p>
    <w:p>
      <w:pPr>
        <w:widowControl/>
        <w:spacing w:line="560" w:lineRule="exact"/>
        <w:ind w:firstLine="640" w:firstLineChars="200"/>
        <w:jc w:val="left"/>
        <w:rPr>
          <w:rFonts w:hint="eastAsia" w:ascii="仿宋_GB2312" w:hAnsi="黑体" w:eastAsia="仿宋"/>
          <w:sz w:val="32"/>
          <w:szCs w:val="32"/>
          <w:highlight w:val="none"/>
          <w:lang w:eastAsia="zh-CN"/>
        </w:rPr>
      </w:pPr>
      <w:r>
        <w:rPr>
          <w:rFonts w:hint="eastAsia" w:ascii="仿宋" w:hAnsi="仿宋" w:eastAsia="仿宋" w:cs="仿宋"/>
          <w:sz w:val="32"/>
          <w:szCs w:val="32"/>
          <w:highlight w:val="none"/>
        </w:rPr>
        <w:t>（一）20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年克州电教仪器站安排项目支出、专项业务费</w:t>
      </w:r>
      <w:r>
        <w:rPr>
          <w:rFonts w:hint="eastAsia" w:ascii="仿宋" w:hAnsi="仿宋" w:eastAsia="仿宋" w:cs="仿宋"/>
          <w:sz w:val="32"/>
          <w:szCs w:val="32"/>
          <w:highlight w:val="none"/>
          <w:lang w:eastAsia="zh-CN"/>
        </w:rPr>
        <w:t>。</w:t>
      </w:r>
    </w:p>
    <w:p>
      <w:pPr>
        <w:widowControl/>
        <w:spacing w:line="560" w:lineRule="exact"/>
        <w:ind w:firstLine="640" w:firstLineChars="200"/>
        <w:jc w:val="left"/>
        <w:rPr>
          <w:rFonts w:hint="eastAsia" w:ascii="仿宋" w:hAnsi="仿宋" w:eastAsia="仿宋" w:cs="仿宋"/>
          <w:kern w:val="0"/>
          <w:sz w:val="32"/>
          <w:szCs w:val="32"/>
          <w:highlight w:val="none"/>
        </w:rPr>
      </w:pP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 w:hAnsi="仿宋" w:eastAsia="仿宋" w:cs="仿宋"/>
          <w:kern w:val="0"/>
          <w:sz w:val="32"/>
          <w:szCs w:val="32"/>
          <w:highlight w:val="none"/>
        </w:rPr>
        <w:t>计算机培训费</w:t>
      </w:r>
    </w:p>
    <w:p>
      <w:pPr>
        <w:widowControl/>
        <w:spacing w:line="560" w:lineRule="exact"/>
        <w:ind w:firstLine="640" w:firstLineChars="200"/>
        <w:jc w:val="left"/>
        <w:rPr>
          <w:rFonts w:hint="eastAsia" w:ascii="仿宋" w:hAnsi="仿宋" w:eastAsia="仿宋" w:cs="仿宋"/>
          <w:kern w:val="0"/>
          <w:sz w:val="32"/>
          <w:szCs w:val="32"/>
          <w:highlight w:val="none"/>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 w:hAnsi="仿宋" w:eastAsia="仿宋" w:cs="仿宋"/>
          <w:kern w:val="0"/>
          <w:sz w:val="32"/>
          <w:szCs w:val="32"/>
          <w:highlight w:val="none"/>
        </w:rPr>
        <w:t>教师计算机技术相关政策</w:t>
      </w:r>
    </w:p>
    <w:p>
      <w:pPr>
        <w:spacing w:line="560" w:lineRule="exact"/>
        <w:ind w:firstLine="640" w:firstLineChars="200"/>
        <w:rPr>
          <w:rFonts w:hint="eastAsia" w:ascii="仿宋" w:hAnsi="仿宋" w:eastAsia="仿宋" w:cs="仿宋"/>
          <w:kern w:val="0"/>
          <w:sz w:val="32"/>
          <w:szCs w:val="32"/>
          <w:highlight w:val="none"/>
        </w:rPr>
      </w:pPr>
      <w:r>
        <w:rPr>
          <w:rFonts w:ascii="仿宋_GB2312" w:hAnsi="黑体" w:eastAsia="仿宋_GB2312"/>
          <w:sz w:val="32"/>
          <w:szCs w:val="32"/>
          <w:highlight w:val="none"/>
        </w:rPr>
        <w:t>预算安排规模</w:t>
      </w:r>
      <w:r>
        <w:rPr>
          <w:rFonts w:hint="eastAsia" w:ascii="仿宋_GB2312" w:hAnsi="黑体" w:eastAsia="仿宋_GB2312"/>
          <w:sz w:val="32"/>
          <w:szCs w:val="32"/>
          <w:highlight w:val="none"/>
        </w:rPr>
        <w:t>：</w:t>
      </w:r>
      <w:r>
        <w:rPr>
          <w:rFonts w:hint="eastAsia" w:ascii="仿宋" w:hAnsi="仿宋" w:eastAsia="仿宋" w:cs="仿宋"/>
          <w:kern w:val="0"/>
          <w:sz w:val="32"/>
          <w:szCs w:val="32"/>
          <w:highlight w:val="none"/>
        </w:rPr>
        <w:t>2万元</w:t>
      </w:r>
    </w:p>
    <w:p>
      <w:pPr>
        <w:widowControl/>
        <w:spacing w:line="560" w:lineRule="exact"/>
        <w:ind w:firstLine="640" w:firstLineChars="200"/>
        <w:jc w:val="left"/>
        <w:rPr>
          <w:rFonts w:hint="eastAsia" w:ascii="仿宋" w:hAnsi="仿宋" w:eastAsia="仿宋" w:cs="仿宋"/>
          <w:sz w:val="32"/>
          <w:szCs w:val="32"/>
          <w:highlight w:val="none"/>
        </w:rPr>
      </w:pPr>
      <w:r>
        <w:rPr>
          <w:rFonts w:ascii="仿宋_GB2312" w:hAnsi="黑体" w:eastAsia="仿宋_GB2312"/>
          <w:sz w:val="32"/>
          <w:szCs w:val="32"/>
          <w:highlight w:val="none"/>
        </w:rPr>
        <w:t>项目承担单位</w:t>
      </w:r>
      <w:r>
        <w:rPr>
          <w:rFonts w:hint="eastAsia" w:ascii="仿宋_GB2312" w:hAnsi="黑体" w:eastAsia="仿宋_GB2312"/>
          <w:sz w:val="32"/>
          <w:szCs w:val="32"/>
          <w:highlight w:val="none"/>
        </w:rPr>
        <w:t>：</w:t>
      </w:r>
      <w:r>
        <w:rPr>
          <w:rFonts w:hint="eastAsia" w:ascii="仿宋" w:hAnsi="仿宋" w:eastAsia="仿宋" w:cs="仿宋"/>
          <w:sz w:val="32"/>
          <w:szCs w:val="32"/>
          <w:highlight w:val="none"/>
        </w:rPr>
        <w:t>克州电教仪器站</w:t>
      </w:r>
    </w:p>
    <w:p>
      <w:pPr>
        <w:widowControl/>
        <w:spacing w:line="560" w:lineRule="exact"/>
        <w:ind w:firstLine="640" w:firstLineChars="200"/>
        <w:jc w:val="left"/>
        <w:rPr>
          <w:rFonts w:hint="eastAsia" w:ascii="仿宋" w:hAnsi="仿宋" w:eastAsia="仿宋" w:cs="仿宋"/>
          <w:kern w:val="0"/>
          <w:sz w:val="32"/>
          <w:szCs w:val="32"/>
          <w:highlight w:val="none"/>
        </w:rPr>
      </w:pPr>
      <w:r>
        <w:rPr>
          <w:rFonts w:ascii="仿宋_GB2312" w:hAnsi="黑体" w:eastAsia="仿宋_GB2312"/>
          <w:sz w:val="32"/>
          <w:szCs w:val="32"/>
          <w:highlight w:val="none"/>
        </w:rPr>
        <w:t>资金分配情况</w:t>
      </w:r>
      <w:r>
        <w:rPr>
          <w:rFonts w:hint="eastAsia" w:ascii="仿宋_GB2312" w:hAnsi="黑体" w:eastAsia="仿宋_GB2312"/>
          <w:sz w:val="32"/>
          <w:szCs w:val="32"/>
          <w:highlight w:val="none"/>
        </w:rPr>
        <w:t>：</w:t>
      </w:r>
      <w:r>
        <w:rPr>
          <w:rFonts w:hint="eastAsia" w:ascii="仿宋" w:hAnsi="仿宋" w:eastAsia="仿宋" w:cs="仿宋"/>
          <w:kern w:val="0"/>
          <w:sz w:val="32"/>
          <w:szCs w:val="32"/>
          <w:highlight w:val="none"/>
        </w:rPr>
        <w:t>1万元/次</w:t>
      </w:r>
    </w:p>
    <w:p>
      <w:pPr>
        <w:widowControl/>
        <w:spacing w:line="560" w:lineRule="exact"/>
        <w:ind w:firstLine="640" w:firstLineChars="200"/>
        <w:jc w:val="left"/>
        <w:rPr>
          <w:rFonts w:hint="eastAsia" w:ascii="仿宋" w:hAnsi="仿宋" w:eastAsia="仿宋" w:cs="仿宋"/>
          <w:kern w:val="0"/>
          <w:sz w:val="32"/>
          <w:szCs w:val="32"/>
          <w:highlight w:val="none"/>
        </w:rPr>
      </w:pPr>
      <w:r>
        <w:rPr>
          <w:rFonts w:ascii="仿宋_GB2312" w:hAnsi="黑体" w:eastAsia="仿宋_GB2312"/>
          <w:sz w:val="32"/>
          <w:szCs w:val="32"/>
          <w:highlight w:val="none"/>
        </w:rPr>
        <w:t>资金执行时间</w:t>
      </w:r>
      <w:r>
        <w:rPr>
          <w:rFonts w:hint="eastAsia" w:ascii="仿宋_GB2312" w:hAnsi="黑体" w:eastAsia="仿宋_GB2312"/>
          <w:sz w:val="32"/>
          <w:szCs w:val="32"/>
          <w:highlight w:val="none"/>
        </w:rPr>
        <w:t>：</w:t>
      </w: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年2月、8月</w:t>
      </w:r>
    </w:p>
    <w:p>
      <w:pPr>
        <w:spacing w:line="500" w:lineRule="exact"/>
        <w:ind w:firstLine="642"/>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克州电教仪器站无属于对个人补贴的项目支出</w:t>
      </w:r>
    </w:p>
    <w:p>
      <w:pPr>
        <w:spacing w:line="56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黑体" w:eastAsia="仿宋_GB2312"/>
          <w:sz w:val="32"/>
          <w:szCs w:val="32"/>
          <w:highlight w:val="none"/>
        </w:rPr>
      </w:pPr>
      <w:r>
        <w:rPr>
          <w:rFonts w:ascii="仿宋_GB2312" w:hAnsi="黑体" w:eastAsia="仿宋_GB2312"/>
          <w:sz w:val="32"/>
          <w:szCs w:val="32"/>
          <w:highlight w:val="none"/>
        </w:rPr>
        <w:t>预算安排规模</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黑体" w:eastAsia="仿宋_GB2312"/>
          <w:sz w:val="32"/>
          <w:szCs w:val="32"/>
          <w:highlight w:val="none"/>
        </w:rPr>
      </w:pPr>
      <w:r>
        <w:rPr>
          <w:rFonts w:ascii="仿宋_GB2312" w:hAnsi="黑体" w:eastAsia="仿宋_GB2312"/>
          <w:sz w:val="32"/>
          <w:szCs w:val="32"/>
          <w:highlight w:val="none"/>
        </w:rPr>
        <w:t>项目承担单位</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黑体" w:eastAsia="仿宋_GB2312"/>
          <w:sz w:val="32"/>
          <w:szCs w:val="32"/>
          <w:highlight w:val="none"/>
        </w:rPr>
      </w:pPr>
      <w:r>
        <w:rPr>
          <w:rFonts w:ascii="仿宋_GB2312" w:hAnsi="黑体" w:eastAsia="仿宋_GB2312"/>
          <w:sz w:val="32"/>
          <w:szCs w:val="32"/>
          <w:highlight w:val="none"/>
        </w:rPr>
        <w:t>资金分配情况</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cs="宋体"/>
          <w:kern w:val="0"/>
          <w:sz w:val="32"/>
          <w:szCs w:val="32"/>
          <w:highlight w:val="none"/>
        </w:rPr>
      </w:pPr>
      <w:r>
        <w:rPr>
          <w:rFonts w:ascii="仿宋_GB2312" w:hAnsi="黑体" w:eastAsia="仿宋_GB2312"/>
          <w:sz w:val="32"/>
          <w:szCs w:val="32"/>
          <w:highlight w:val="none"/>
        </w:rPr>
        <w:t>资金执行时间</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sz w:val="32"/>
          <w:szCs w:val="22"/>
          <w:highlight w:val="none"/>
        </w:rPr>
      </w:pPr>
      <w:r>
        <w:rPr>
          <w:rFonts w:ascii="仿宋_GB2312" w:hAnsi="宋体" w:eastAsia="仿宋_GB2312"/>
          <w:sz w:val="32"/>
          <w:szCs w:val="22"/>
          <w:highlight w:val="none"/>
        </w:rPr>
        <w:t>资金来源</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sz w:val="32"/>
          <w:szCs w:val="22"/>
          <w:highlight w:val="none"/>
        </w:rPr>
      </w:pPr>
      <w:r>
        <w:rPr>
          <w:rFonts w:ascii="仿宋_GB2312" w:hAnsi="宋体" w:eastAsia="仿宋_GB2312"/>
          <w:sz w:val="32"/>
          <w:szCs w:val="22"/>
          <w:highlight w:val="none"/>
        </w:rPr>
        <w:t>补贴人数</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sz w:val="32"/>
          <w:szCs w:val="22"/>
          <w:highlight w:val="none"/>
        </w:rPr>
      </w:pPr>
      <w:r>
        <w:rPr>
          <w:rFonts w:ascii="仿宋_GB2312" w:hAnsi="宋体" w:eastAsia="仿宋_GB2312"/>
          <w:sz w:val="32"/>
          <w:szCs w:val="22"/>
          <w:highlight w:val="none"/>
        </w:rPr>
        <w:t>补贴标准</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sz w:val="32"/>
          <w:szCs w:val="22"/>
          <w:highlight w:val="none"/>
        </w:rPr>
      </w:pPr>
      <w:r>
        <w:rPr>
          <w:rFonts w:ascii="仿宋_GB2312" w:hAnsi="宋体" w:eastAsia="仿宋_GB2312"/>
          <w:sz w:val="32"/>
          <w:szCs w:val="22"/>
          <w:highlight w:val="none"/>
        </w:rPr>
        <w:t>补贴范围</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仿宋_GB2312" w:hAnsi="宋体" w:eastAsia="仿宋_GB2312" w:cs="宋体"/>
          <w:kern w:val="0"/>
          <w:sz w:val="32"/>
          <w:szCs w:val="32"/>
          <w:highlight w:val="none"/>
        </w:rPr>
      </w:pPr>
      <w:r>
        <w:rPr>
          <w:rFonts w:ascii="仿宋_GB2312" w:hAnsi="宋体" w:eastAsia="仿宋_GB2312"/>
          <w:sz w:val="32"/>
          <w:szCs w:val="22"/>
          <w:highlight w:val="none"/>
        </w:rPr>
        <w:t>补贴方式</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cs="宋体"/>
          <w:kern w:val="0"/>
          <w:sz w:val="32"/>
          <w:szCs w:val="32"/>
          <w:highlight w:val="none"/>
        </w:rPr>
        <w:t>发放程序：</w:t>
      </w:r>
      <w:r>
        <w:rPr>
          <w:rFonts w:hint="eastAsia" w:ascii="仿宋_GB2312" w:hAnsi="黑体" w:eastAsia="仿宋_GB2312"/>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宋体" w:eastAsia="仿宋_GB2312"/>
          <w:sz w:val="32"/>
          <w:szCs w:val="22"/>
          <w:highlight w:val="none"/>
        </w:rPr>
        <w:t>受益人群和社会效益</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八、关于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年一般公共预算“三公”经费预算情况说明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一般公共预算</w:t>
      </w:r>
      <w:r>
        <w:rPr>
          <w:rFonts w:hint="eastAsia" w:ascii="仿宋_GB2312" w:hAnsi="宋体" w:eastAsia="仿宋_GB2312" w:cs="宋体"/>
          <w:kern w:val="0"/>
          <w:sz w:val="32"/>
          <w:szCs w:val="32"/>
          <w:highlight w:val="none"/>
        </w:rPr>
        <w:t>“三公”经费数为</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万元，其中：因公出国（境）费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万元，公务用车购置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万元，公务用车运行费</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万元，公务接待费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hint="eastAsia" w:ascii="仿宋" w:hAnsi="仿宋" w:eastAsia="仿宋" w:cs="仿宋"/>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年“三公”经费财政拨款预算比上年增加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万元，其中：因公出国（境）费增加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 w:hAnsi="仿宋" w:eastAsia="仿宋" w:cs="仿宋"/>
          <w:kern w:val="0"/>
          <w:sz w:val="32"/>
          <w:szCs w:val="32"/>
          <w:highlight w:val="none"/>
        </w:rPr>
        <w:t>本年度未安排该项预算</w:t>
      </w:r>
      <w:r>
        <w:rPr>
          <w:rFonts w:hint="eastAsia" w:ascii="仿宋_GB2312" w:hAnsi="宋体" w:eastAsia="仿宋_GB2312" w:cs="宋体"/>
          <w:kern w:val="0"/>
          <w:sz w:val="32"/>
          <w:szCs w:val="32"/>
          <w:highlight w:val="none"/>
        </w:rPr>
        <w:t>；公务用车购置费为0</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rPr>
        <w:t>，</w:t>
      </w:r>
      <w:r>
        <w:rPr>
          <w:rFonts w:hint="eastAsia" w:ascii="仿宋" w:hAnsi="仿宋" w:eastAsia="仿宋" w:cs="仿宋"/>
          <w:kern w:val="0"/>
          <w:sz w:val="32"/>
          <w:szCs w:val="32"/>
          <w:highlight w:val="none"/>
        </w:rPr>
        <w:t>未安排该项预算</w:t>
      </w:r>
      <w:r>
        <w:rPr>
          <w:rFonts w:hint="eastAsia" w:ascii="仿宋_GB2312" w:hAnsi="宋体" w:eastAsia="仿宋_GB2312" w:cs="宋体"/>
          <w:kern w:val="0"/>
          <w:sz w:val="32"/>
          <w:szCs w:val="32"/>
          <w:highlight w:val="none"/>
        </w:rPr>
        <w:t>；公务用车运行费增加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坚持“三公经费”只减不增的原则</w:t>
      </w:r>
      <w:r>
        <w:rPr>
          <w:rFonts w:hint="eastAsia" w:ascii="仿宋_GB2312" w:hAnsi="宋体" w:eastAsia="仿宋_GB2312" w:cs="宋体"/>
          <w:kern w:val="0"/>
          <w:sz w:val="32"/>
          <w:szCs w:val="32"/>
          <w:highlight w:val="none"/>
        </w:rPr>
        <w:t>；公务接待费增加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 w:hAnsi="仿宋" w:eastAsia="仿宋" w:cs="仿宋"/>
          <w:kern w:val="0"/>
          <w:sz w:val="32"/>
          <w:szCs w:val="32"/>
          <w:highlight w:val="none"/>
        </w:rPr>
        <w:t>公务接待由教育局承担，故本年度未安排预算。</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九、关于</w:t>
      </w:r>
      <w:r>
        <w:rPr>
          <w:rFonts w:hint="eastAsia" w:ascii="黑体" w:hAnsi="宋体" w:eastAsia="黑体" w:cs="宋体"/>
          <w:kern w:val="0"/>
          <w:sz w:val="32"/>
          <w:szCs w:val="32"/>
          <w:highlight w:val="none"/>
          <w:lang w:eastAsia="zh-CN"/>
        </w:rPr>
        <w:t>克孜勒苏柯尔克孜自治州电教仪器站</w:t>
      </w:r>
      <w:r>
        <w:rPr>
          <w:rFonts w:hint="eastAsia" w:ascii="黑体" w:hAnsi="宋体" w:eastAsia="黑体" w:cs="宋体"/>
          <w:kern w:val="0"/>
          <w:sz w:val="32"/>
          <w:szCs w:val="32"/>
          <w:highlight w:val="none"/>
          <w:lang w:val="en-US" w:eastAsia="zh-CN"/>
        </w:rPr>
        <w:t>2021</w:t>
      </w:r>
      <w:r>
        <w:rPr>
          <w:rFonts w:hint="eastAsia" w:ascii="黑体" w:hAnsi="宋体" w:eastAsia="黑体" w:cs="宋体"/>
          <w:kern w:val="0"/>
          <w:sz w:val="32"/>
          <w:szCs w:val="32"/>
          <w:highlight w:val="none"/>
        </w:rPr>
        <w:t>年政府性基金预算拨款情况说明</w:t>
      </w:r>
    </w:p>
    <w:p>
      <w:pPr>
        <w:spacing w:line="560" w:lineRule="exact"/>
        <w:ind w:firstLine="640" w:firstLineChars="200"/>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highlight w:val="none"/>
          <w:lang w:eastAsia="zh-CN"/>
        </w:rPr>
        <w:t>克孜勒苏柯尔克孜自治州</w:t>
      </w:r>
      <w:r>
        <w:rPr>
          <w:rFonts w:hint="eastAsia" w:ascii="仿宋_GB2312" w:hAnsi="宋体" w:eastAsia="仿宋_GB2312" w:cs="宋体"/>
          <w:kern w:val="0"/>
          <w:sz w:val="32"/>
          <w:szCs w:val="32"/>
          <w:highlight w:val="none"/>
        </w:rPr>
        <w:t>电教仪器站</w:t>
      </w:r>
      <w:r>
        <w:rPr>
          <w:rFonts w:ascii="仿宋_GB2312" w:hAnsi="宋体" w:eastAsia="仿宋_GB2312" w:cs="宋体"/>
          <w:kern w:val="0"/>
          <w:sz w:val="32"/>
          <w:szCs w:val="32"/>
          <w:highlight w:val="none"/>
        </w:rPr>
        <w:t>20</w:t>
      </w:r>
      <w:r>
        <w:rPr>
          <w:rFonts w:hint="eastAsia" w:ascii="仿宋_GB2312" w:hAnsi="宋体" w:eastAsia="仿宋_GB2312" w:cs="宋体"/>
          <w:kern w:val="0"/>
          <w:sz w:val="32"/>
          <w:szCs w:val="32"/>
          <w:highlight w:val="none"/>
          <w:lang w:val="en-US" w:eastAsia="zh-CN"/>
        </w:rPr>
        <w:t>21</w:t>
      </w:r>
      <w:r>
        <w:rPr>
          <w:rFonts w:hint="eastAsia" w:ascii="仿宋_GB2312" w:hAnsi="宋体" w:eastAsia="仿宋_GB2312" w:cs="宋体"/>
          <w:kern w:val="0"/>
          <w:sz w:val="32"/>
          <w:szCs w:val="32"/>
          <w:highlight w:val="none"/>
        </w:rPr>
        <w:t>年没有使用政府性基金预算拨款安排的支出，政府性基金预算支出情况表为空表（表九）。</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十、其他重要事项的情况说明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（一）机关运行经费情况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rPr>
        <w:t>本级及下属</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家行政单位和</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家事业单位的机关运行经费财政拨款预算</w:t>
      </w:r>
      <w:r>
        <w:rPr>
          <w:rFonts w:hint="eastAsia" w:ascii="仿宋_GB2312" w:hAnsi="宋体" w:eastAsia="仿宋_GB2312" w:cs="宋体"/>
          <w:kern w:val="0"/>
          <w:sz w:val="32"/>
          <w:szCs w:val="32"/>
          <w:highlight w:val="none"/>
          <w:lang w:val="en-US" w:eastAsia="zh-CN"/>
        </w:rPr>
        <w:t>4.04</w:t>
      </w:r>
      <w:r>
        <w:rPr>
          <w:rFonts w:hint="eastAsia" w:ascii="仿宋_GB2312" w:hAnsi="宋体" w:eastAsia="仿宋_GB2312" w:cs="宋体"/>
          <w:kern w:val="0"/>
          <w:sz w:val="32"/>
          <w:szCs w:val="32"/>
          <w:highlight w:val="none"/>
        </w:rPr>
        <w:t>万元，比上年预算4.</w:t>
      </w:r>
      <w:r>
        <w:rPr>
          <w:rFonts w:hint="eastAsia" w:ascii="仿宋_GB2312" w:hAnsi="宋体" w:eastAsia="仿宋_GB2312" w:cs="宋体"/>
          <w:kern w:val="0"/>
          <w:sz w:val="32"/>
          <w:szCs w:val="32"/>
          <w:highlight w:val="none"/>
          <w:lang w:val="en-US" w:eastAsia="zh-CN"/>
        </w:rPr>
        <w:t>45</w:t>
      </w:r>
      <w:r>
        <w:rPr>
          <w:rFonts w:hint="eastAsia" w:ascii="仿宋_GB2312" w:hAnsi="宋体" w:eastAsia="仿宋_GB2312" w:cs="宋体"/>
          <w:kern w:val="0"/>
          <w:sz w:val="32"/>
          <w:szCs w:val="32"/>
          <w:highlight w:val="none"/>
        </w:rPr>
        <w:t>万元减少</w:t>
      </w:r>
      <w:r>
        <w:rPr>
          <w:rFonts w:hint="eastAsia" w:ascii="仿宋_GB2312" w:hAnsi="宋体" w:eastAsia="仿宋_GB2312" w:cs="宋体"/>
          <w:kern w:val="0"/>
          <w:sz w:val="32"/>
          <w:szCs w:val="32"/>
          <w:highlight w:val="none"/>
          <w:lang w:val="en-US" w:eastAsia="zh-CN"/>
        </w:rPr>
        <w:t>0.41</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0.92</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本年度人员减少</w:t>
      </w:r>
      <w:r>
        <w:rPr>
          <w:rFonts w:hint="eastAsia" w:ascii="仿宋_GB2312" w:hAnsi="宋体" w:eastAsia="仿宋_GB2312" w:cs="宋体"/>
          <w:kern w:val="0"/>
          <w:sz w:val="32"/>
          <w:szCs w:val="32"/>
          <w:highlight w:val="none"/>
          <w:lang w:val="en-US" w:eastAsia="zh-CN"/>
        </w:rPr>
        <w:t>2人，相应的工会费、福利费及公用经费减少</w:t>
      </w:r>
      <w:r>
        <w:rPr>
          <w:rFonts w:hint="eastAsia" w:ascii="仿宋_GB2312" w:hAnsi="宋体" w:eastAsia="仿宋_GB2312" w:cs="宋体"/>
          <w:kern w:val="0"/>
          <w:sz w:val="32"/>
          <w:szCs w:val="32"/>
          <w:highlight w:val="none"/>
        </w:rPr>
        <w:t>。</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（二）政府采购情况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rPr>
        <w:t>政府采购预算</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万元，其中：政府采购货物预算</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万元，政府采购工程预算</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万元，政府采购服务预算</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仿宋_GB2312" w:eastAsia="仿宋_GB2312"/>
          <w:sz w:val="32"/>
          <w:highlight w:val="none"/>
          <w:lang w:val="en-US" w:eastAsia="zh-CN"/>
        </w:rPr>
        <w:t>2021</w:t>
      </w:r>
      <w:r>
        <w:rPr>
          <w:rFonts w:hint="eastAsia" w:ascii="仿宋_GB2312" w:hAnsi="仿宋_GB2312" w:eastAsia="仿宋_GB2312"/>
          <w:sz w:val="32"/>
          <w:highlight w:val="none"/>
        </w:rPr>
        <w:t>年度本部门面向中小企业预留政府采购项目预算金额</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万元，其中：面向小微企业预留政府采购项目预算金额</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万元。</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（三）国有资产占用使用情况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截至</w:t>
      </w: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年底，</w:t>
      </w: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rPr>
        <w:t>及下属各预算单位占用使用国有资产总体情况为</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1.房屋</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平方米，价值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2.车辆</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辆，价值</w:t>
      </w:r>
      <w:r>
        <w:rPr>
          <w:rFonts w:ascii="仿宋_GB2312" w:hAnsi="宋体" w:eastAsia="仿宋_GB2312" w:cs="宋体"/>
          <w:kern w:val="0"/>
          <w:sz w:val="32"/>
          <w:szCs w:val="32"/>
          <w:highlight w:val="none"/>
        </w:rPr>
        <w:t>13.35</w:t>
      </w:r>
      <w:r>
        <w:rPr>
          <w:rFonts w:hint="eastAsia" w:ascii="仿宋_GB2312" w:hAnsi="宋体" w:eastAsia="仿宋_GB2312" w:cs="宋体"/>
          <w:kern w:val="0"/>
          <w:sz w:val="32"/>
          <w:szCs w:val="32"/>
          <w:highlight w:val="none"/>
        </w:rPr>
        <w:t>万元；其中：一般公务用车</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辆，价值</w:t>
      </w:r>
      <w:r>
        <w:rPr>
          <w:rFonts w:ascii="仿宋_GB2312" w:hAnsi="宋体" w:eastAsia="仿宋_GB2312" w:cs="宋体"/>
          <w:kern w:val="0"/>
          <w:sz w:val="32"/>
          <w:szCs w:val="32"/>
          <w:highlight w:val="none"/>
        </w:rPr>
        <w:t>13.35</w:t>
      </w:r>
      <w:r>
        <w:rPr>
          <w:rFonts w:hint="eastAsia" w:ascii="仿宋_GB2312" w:hAnsi="宋体" w:eastAsia="仿宋_GB2312" w:cs="宋体"/>
          <w:kern w:val="0"/>
          <w:sz w:val="32"/>
          <w:szCs w:val="32"/>
          <w:highlight w:val="none"/>
        </w:rPr>
        <w:t>万元；执法执勤用车</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万元；其他车辆</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3.办公家具价值</w:t>
      </w:r>
      <w:r>
        <w:rPr>
          <w:rFonts w:hint="eastAsia" w:ascii="仿宋_GB2312" w:hAnsi="宋体" w:eastAsia="仿宋_GB2312" w:cs="宋体"/>
          <w:kern w:val="0"/>
          <w:sz w:val="32"/>
          <w:szCs w:val="32"/>
          <w:highlight w:val="none"/>
          <w:lang w:val="en-US" w:eastAsia="zh-CN"/>
        </w:rPr>
        <w:t>1.88</w:t>
      </w:r>
      <w:r>
        <w:rPr>
          <w:rFonts w:hint="eastAsia" w:ascii="仿宋_GB2312" w:hAnsi="宋体" w:eastAsia="仿宋_GB2312" w:cs="宋体"/>
          <w:kern w:val="0"/>
          <w:sz w:val="32"/>
          <w:szCs w:val="32"/>
          <w:highlight w:val="none"/>
        </w:rPr>
        <w:t>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4.其他资产价值</w:t>
      </w:r>
      <w:r>
        <w:rPr>
          <w:rFonts w:hint="eastAsia" w:ascii="仿宋_GB2312" w:hAnsi="宋体" w:eastAsia="仿宋_GB2312" w:cs="宋体"/>
          <w:kern w:val="0"/>
          <w:sz w:val="32"/>
          <w:szCs w:val="32"/>
          <w:highlight w:val="none"/>
          <w:lang w:val="en-US" w:eastAsia="zh-CN"/>
        </w:rPr>
        <w:t>17.3</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单位价值50万元以上大型设备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台（套），单位价值100万元以上大型设备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克孜勒苏柯尔克孜自治州电教仪器站</w:t>
      </w:r>
      <w:r>
        <w:rPr>
          <w:rFonts w:hint="eastAsia" w:ascii="仿宋_GB2312" w:hAnsi="宋体" w:eastAsia="仿宋_GB2312" w:cs="宋体"/>
          <w:kern w:val="0"/>
          <w:sz w:val="32"/>
          <w:szCs w:val="32"/>
          <w:highlight w:val="none"/>
        </w:rPr>
        <w:t>预算未安排购置车辆经费（或安排购置车辆经费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万元），安排购置50万元以上大型设备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台（套），单位价值100万元以上大型设备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（四）预算绩效情况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 xml:space="preserve">年度，本年度实行绩效管理的一般公共预算项目   </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个，涉及预算金额</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万元。具体情况见下表（按项目分别填报）：</w:t>
      </w: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ind w:firstLine="640" w:firstLineChars="200"/>
        <w:rPr>
          <w:rFonts w:hint="eastAsia" w:ascii="仿宋_GB2312" w:hAnsi="宋体" w:eastAsia="仿宋_GB2312" w:cs="宋体"/>
          <w:kern w:val="0"/>
          <w:sz w:val="32"/>
          <w:szCs w:val="32"/>
          <w:highlight w:val="none"/>
        </w:rPr>
      </w:pPr>
    </w:p>
    <w:p>
      <w:pPr>
        <w:spacing w:line="560" w:lineRule="exact"/>
        <w:rPr>
          <w:rFonts w:ascii="仿宋_GB2312" w:hAnsi="宋体" w:eastAsia="仿宋_GB2312" w:cs="宋体"/>
          <w:kern w:val="0"/>
          <w:sz w:val="32"/>
          <w:szCs w:val="32"/>
          <w:highlight w:val="none"/>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highlight w:val="none"/>
              </w:rPr>
            </w:pPr>
            <w:r>
              <w:rPr>
                <w:rFonts w:hint="eastAsia" w:ascii="仿宋_GB2312" w:hAnsi="宋体" w:eastAsia="仿宋_GB2312" w:cs="仿宋_GB2312"/>
                <w:b/>
                <w:color w:val="000000"/>
                <w:kern w:val="0"/>
                <w:sz w:val="32"/>
                <w:szCs w:val="32"/>
                <w:highlight w:val="none"/>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eastAsia="zh-CN" w:bidi="ar"/>
              </w:rPr>
              <w:t>克孜勒苏柯尔克孜自治州电教仪器站</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highlight w:val="none"/>
              </w:rPr>
            </w:pPr>
            <w:r>
              <w:rPr>
                <w:rFonts w:hint="eastAsia" w:ascii="宋体" w:hAnsi="宋体" w:cs="宋体"/>
                <w:color w:val="000000"/>
                <w:sz w:val="18"/>
                <w:szCs w:val="18"/>
                <w:highlight w:val="none"/>
                <w:lang w:eastAsia="zh-CN"/>
              </w:rPr>
              <w:t>计算机培训费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highlight w:val="none"/>
              </w:rPr>
            </w:pP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ascii="宋体" w:hAnsi="宋体" w:cs="宋体"/>
                <w:color w:val="000000"/>
                <w:sz w:val="18"/>
                <w:szCs w:val="18"/>
                <w:highlight w:val="none"/>
              </w:rPr>
            </w:pPr>
            <w:r>
              <w:rPr>
                <w:rFonts w:hint="eastAsia" w:ascii="宋体" w:hAnsi="宋体" w:cs="宋体"/>
                <w:color w:val="000000"/>
                <w:sz w:val="18"/>
                <w:szCs w:val="18"/>
                <w:highlight w:val="none"/>
              </w:rPr>
              <w:t>克州电教仪器站主要负责全州的教师信息化工作和实验教学工作。信息化工作是电教站的核心，负责培训提升全州教师的信息化能力，检查各学校信息化使用情况，给各学校配备信息化设备等</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highlight w:val="none"/>
              </w:rPr>
            </w:pPr>
            <w:r>
              <w:rPr>
                <w:rFonts w:hint="eastAsia" w:ascii="宋体" w:hAnsi="宋体" w:cs="宋体"/>
                <w:b/>
                <w:color w:val="000000"/>
                <w:kern w:val="0"/>
                <w:sz w:val="18"/>
                <w:szCs w:val="18"/>
                <w:highlight w:val="none"/>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项目完成</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培训教师数量(人)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r>
              <w:rPr>
                <w:rFonts w:hint="eastAsia" w:ascii="宋体" w:hAnsi="宋体" w:cs="宋体"/>
                <w:color w:val="000000"/>
                <w:sz w:val="18"/>
                <w:szCs w:val="18"/>
                <w:highlight w:val="none"/>
                <w:lang w:val="en-US" w:eastAsia="zh-CN"/>
              </w:rPr>
              <w:t>1000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组织培训次数（次）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2</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培训合格率（%）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≥93%</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培训工作完成率（%）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教师计算机培训费（万元）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2</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项目效益</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提升克州教师计算机应用能力，提高教学效率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有效提升</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highlight w:val="none"/>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highlight w:val="none"/>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促进教育事业发展</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有效促进</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参训教师满意度（%）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ascii="宋体" w:hAnsi="宋体" w:cs="宋体"/>
                <w:color w:val="000000"/>
                <w:sz w:val="18"/>
                <w:szCs w:val="18"/>
                <w:highlight w:val="none"/>
              </w:rPr>
            </w:pPr>
            <w:r>
              <w:rPr>
                <w:rFonts w:hint="eastAsia" w:ascii="宋体" w:hAnsi="宋体" w:eastAsia="宋体" w:cs="宋体"/>
                <w:color w:val="000000"/>
                <w:kern w:val="2"/>
                <w:sz w:val="18"/>
                <w:szCs w:val="18"/>
                <w:highlight w:val="none"/>
                <w:lang w:val="en-US" w:eastAsia="zh-CN" w:bidi="ar-SA"/>
              </w:rPr>
              <w:t>≥95%</w:t>
            </w:r>
          </w:p>
        </w:tc>
      </w:tr>
    </w:tbl>
    <w:p>
      <w:pPr>
        <w:widowControl/>
        <w:spacing w:line="480" w:lineRule="exact"/>
        <w:rPr>
          <w:rFonts w:ascii="仿宋_GB2312" w:hAnsi="宋体" w:eastAsia="仿宋_GB2312" w:cs="宋体"/>
          <w:kern w:val="0"/>
          <w:sz w:val="32"/>
          <w:szCs w:val="32"/>
          <w:highlight w:val="none"/>
        </w:rPr>
        <w:sectPr>
          <w:footerReference r:id="rId5" w:type="default"/>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（五）其他需说明的事项</w:t>
      </w:r>
    </w:p>
    <w:p>
      <w:pPr>
        <w:widowControl/>
        <w:spacing w:line="520" w:lineRule="exact"/>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本单位无其他需说明的事项</w:t>
      </w:r>
    </w:p>
    <w:p>
      <w:pPr>
        <w:widowControl/>
        <w:spacing w:before="217" w:beforeLines="50" w:line="520" w:lineRule="exact"/>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第四部分  名词解释</w:t>
      </w:r>
    </w:p>
    <w:p>
      <w:pPr>
        <w:widowControl/>
        <w:spacing w:before="217" w:beforeLines="50" w:line="520" w:lineRule="exact"/>
        <w:jc w:val="center"/>
        <w:outlineLvl w:val="1"/>
        <w:rPr>
          <w:rFonts w:ascii="黑体" w:hAnsi="黑体" w:eastAsia="黑体"/>
          <w:kern w:val="0"/>
          <w:sz w:val="32"/>
          <w:szCs w:val="32"/>
          <w:highlight w:val="none"/>
        </w:rPr>
      </w:pPr>
    </w:p>
    <w:p>
      <w:pPr>
        <w:widowControl/>
        <w:spacing w:line="520" w:lineRule="exact"/>
        <w:ind w:firstLine="640"/>
        <w:jc w:val="left"/>
        <w:rPr>
          <w:rFonts w:ascii="黑体" w:hAnsi="宋体" w:eastAsia="黑体" w:cs="宋体"/>
          <w:kern w:val="0"/>
          <w:sz w:val="32"/>
          <w:szCs w:val="32"/>
          <w:highlight w:val="none"/>
        </w:rPr>
      </w:pPr>
      <w:r>
        <w:rPr>
          <w:rFonts w:hint="eastAsia" w:ascii="黑体" w:hAnsi="宋体" w:eastAsia="黑体" w:cs="宋体"/>
          <w:kern w:val="0"/>
          <w:sz w:val="32"/>
          <w:szCs w:val="32"/>
          <w:highlight w:val="none"/>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二、一般公共预算：</w:t>
      </w:r>
      <w:r>
        <w:rPr>
          <w:rFonts w:hint="eastAsia" w:ascii="仿宋_GB2312" w:eastAsia="仿宋_GB2312"/>
          <w:spacing w:val="-6"/>
          <w:sz w:val="32"/>
          <w:szCs w:val="32"/>
          <w:highlight w:val="none"/>
        </w:rPr>
        <w:t>包括公共财政拨款（补助）资金、专项收入。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三、财政专户管理资金：</w:t>
      </w:r>
      <w:r>
        <w:rPr>
          <w:rFonts w:hint="eastAsia" w:ascii="仿宋_GB2312" w:eastAsia="仿宋_GB2312"/>
          <w:sz w:val="32"/>
          <w:szCs w:val="32"/>
          <w:highlight w:val="none"/>
        </w:rPr>
        <w:t>包括专户管理行政事业性收费（主要是教育收费）、其他非税收入。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四、其他资金：</w:t>
      </w:r>
      <w:r>
        <w:rPr>
          <w:rFonts w:hint="eastAsia" w:ascii="仿宋_GB2312" w:eastAsia="仿宋_GB2312"/>
          <w:sz w:val="32"/>
          <w:szCs w:val="32"/>
          <w:highlight w:val="none"/>
        </w:rPr>
        <w:t>包括事业收入、事业经营收入、其他收入等。</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五、基本支出：</w:t>
      </w:r>
      <w:r>
        <w:rPr>
          <w:rFonts w:hint="eastAsia" w:ascii="仿宋_GB2312" w:eastAsia="仿宋_GB2312"/>
          <w:sz w:val="32"/>
          <w:szCs w:val="32"/>
          <w:highlight w:val="none"/>
        </w:rPr>
        <w:t>包括人员经费、商品和服务支出（定额）。其中，人员经费包括工资福利支出、对个人和家庭的补助。</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六、项目支出：</w:t>
      </w:r>
      <w:r>
        <w:rPr>
          <w:rFonts w:hint="eastAsia" w:ascii="仿宋_GB2312" w:eastAsia="仿宋_GB2312"/>
          <w:sz w:val="32"/>
          <w:szCs w:val="32"/>
          <w:highlight w:val="none"/>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七、“三公”经费：</w:t>
      </w:r>
      <w:r>
        <w:rPr>
          <w:rFonts w:hint="eastAsia" w:ascii="仿宋_GB2312" w:eastAsia="仿宋_GB2312"/>
          <w:sz w:val="32"/>
          <w:szCs w:val="32"/>
          <w:highlight w:val="none"/>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八、机关运行经费：</w:t>
      </w:r>
      <w:r>
        <w:rPr>
          <w:rFonts w:hint="eastAsia" w:ascii="仿宋_GB2312" w:eastAsia="仿宋_GB2312"/>
          <w:sz w:val="32"/>
          <w:szCs w:val="32"/>
          <w:highlight w:val="none"/>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eastAsia="zh-CN"/>
        </w:rPr>
        <w:t>克孜勒苏柯尔克孜自治州电教仪器站</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2021</w:t>
      </w:r>
      <w:r>
        <w:rPr>
          <w:rFonts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2</w:t>
      </w:r>
      <w:r>
        <w:rPr>
          <w:rFonts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ascii="仿宋_GB2312" w:hAnsi="宋体" w:eastAsia="仿宋_GB2312" w:cs="宋体"/>
          <w:kern w:val="0"/>
          <w:sz w:val="32"/>
          <w:szCs w:val="32"/>
          <w:highlight w:val="none"/>
        </w:rPr>
        <w:t>日</w:t>
      </w:r>
    </w:p>
    <w:p>
      <w:pPr>
        <w:rPr>
          <w:highlight w:val="none"/>
        </w:rPr>
      </w:pPr>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6" w:type="default"/>
      <w:footerReference r:id="rId7"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A4E1E"/>
    <w:rsid w:val="00CE5389"/>
    <w:rsid w:val="00DC05BF"/>
    <w:rsid w:val="00E569BC"/>
    <w:rsid w:val="00EF4090"/>
    <w:rsid w:val="00F23808"/>
    <w:rsid w:val="00F54FE8"/>
    <w:rsid w:val="00F830A1"/>
    <w:rsid w:val="00F83503"/>
    <w:rsid w:val="00F90952"/>
    <w:rsid w:val="0116609B"/>
    <w:rsid w:val="022809F7"/>
    <w:rsid w:val="029E6E15"/>
    <w:rsid w:val="065F54D6"/>
    <w:rsid w:val="068F5D69"/>
    <w:rsid w:val="06CE6BAF"/>
    <w:rsid w:val="07983F30"/>
    <w:rsid w:val="0CFD6ADE"/>
    <w:rsid w:val="0EDC2B34"/>
    <w:rsid w:val="110E69B1"/>
    <w:rsid w:val="12D9163D"/>
    <w:rsid w:val="14334170"/>
    <w:rsid w:val="14351B0A"/>
    <w:rsid w:val="17B20C7E"/>
    <w:rsid w:val="1ACA6205"/>
    <w:rsid w:val="1B4047B5"/>
    <w:rsid w:val="2134320D"/>
    <w:rsid w:val="23E066AC"/>
    <w:rsid w:val="25C50E52"/>
    <w:rsid w:val="28CA4BB8"/>
    <w:rsid w:val="28E11FA4"/>
    <w:rsid w:val="2B2902FC"/>
    <w:rsid w:val="2D3B0A29"/>
    <w:rsid w:val="2DF8612D"/>
    <w:rsid w:val="2F1E2F13"/>
    <w:rsid w:val="2F5F23DB"/>
    <w:rsid w:val="30791DFE"/>
    <w:rsid w:val="348440F4"/>
    <w:rsid w:val="35B7262D"/>
    <w:rsid w:val="3CE9499B"/>
    <w:rsid w:val="3F313012"/>
    <w:rsid w:val="3FC13527"/>
    <w:rsid w:val="403A45C5"/>
    <w:rsid w:val="41210C1C"/>
    <w:rsid w:val="41666644"/>
    <w:rsid w:val="4259041E"/>
    <w:rsid w:val="4507531F"/>
    <w:rsid w:val="452D5841"/>
    <w:rsid w:val="46470EEC"/>
    <w:rsid w:val="4C0524DF"/>
    <w:rsid w:val="4F210119"/>
    <w:rsid w:val="4FA56D49"/>
    <w:rsid w:val="50BA18C7"/>
    <w:rsid w:val="52895955"/>
    <w:rsid w:val="53330682"/>
    <w:rsid w:val="5341636C"/>
    <w:rsid w:val="542C1AE4"/>
    <w:rsid w:val="55E43D01"/>
    <w:rsid w:val="59893DCB"/>
    <w:rsid w:val="59CA0559"/>
    <w:rsid w:val="5B4B059B"/>
    <w:rsid w:val="5C2E092D"/>
    <w:rsid w:val="5FD44F2A"/>
    <w:rsid w:val="61335D0F"/>
    <w:rsid w:val="641B663A"/>
    <w:rsid w:val="688C67AF"/>
    <w:rsid w:val="699653CB"/>
    <w:rsid w:val="6C68554E"/>
    <w:rsid w:val="6DDA3DFC"/>
    <w:rsid w:val="6F1829DD"/>
    <w:rsid w:val="6F9701DE"/>
    <w:rsid w:val="740B0F66"/>
    <w:rsid w:val="747F03D5"/>
    <w:rsid w:val="75725200"/>
    <w:rsid w:val="75D4551A"/>
    <w:rsid w:val="76E22895"/>
    <w:rsid w:val="775F5984"/>
    <w:rsid w:val="7C5001A1"/>
    <w:rsid w:val="7E4D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2455</Words>
  <Characters>13996</Characters>
  <Lines>116</Lines>
  <Paragraphs>32</Paragraphs>
  <TotalTime>1</TotalTime>
  <ScaleCrop>false</ScaleCrop>
  <LinksUpToDate>false</LinksUpToDate>
  <CharactersWithSpaces>16419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ran嘟嘟</cp:lastModifiedBy>
  <dcterms:modified xsi:type="dcterms:W3CDTF">2021-03-01T09:16:51Z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