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方正小标宋_GBK" w:hAnsi="宋体" w:eastAsia="方正小标宋_GBK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highlight w:val="none"/>
        </w:rPr>
        <w:t>克孜勒苏柯尔克孜自治州</w:t>
      </w: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highlight w:val="none"/>
          <w:lang w:eastAsia="zh-CN"/>
        </w:rPr>
        <w:t>质量与计量检测所</w:t>
      </w: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部门</w:t>
      </w: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highlight w:val="none"/>
        </w:rPr>
        <w:t>预算公开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黑体" w:hAnsi="黑体" w:eastAsia="黑体"/>
          <w:color w:val="auto"/>
          <w:kern w:val="0"/>
          <w:sz w:val="36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6"/>
          <w:szCs w:val="32"/>
          <w:highlight w:val="none"/>
        </w:rPr>
        <w:t>目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3" w:firstLineChars="200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 xml:space="preserve">第一部分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一、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二、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三、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四、财政拨款收支总体情况表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五、一般公共预算支出情况表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六、一般公共预算基本支出情况表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七、</w:t>
      </w: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  <w:highlight w:val="none"/>
        </w:rPr>
        <w:t>项目支出情况表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八、一般公共预算“三公”经费支出情况表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二、关于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收入预算情况说明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三、关于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  <w:highlight w:val="none"/>
        </w:rPr>
        <w:t>四、关于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  <w:highlight w:val="none"/>
        </w:rPr>
        <w:t>财政拨款收支预算情况的总体说明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五、关于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一般公共预算当年拨款情况说明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六、关于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七、关于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八、关于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九、关于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克州质量与计量检测所2021年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第四部分  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 xml:space="preserve">第一部分  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宋体" w:hAnsi="宋体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　  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一、主要职能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 xml:space="preserve"> 负责建立和保存自治州最高社会公用计量标准，进行量值传递和溯源。依法承担全州范围内的计量器具强制检定、非强制检定、仲裁检定工作。承担国家、自治区和州委、州政府下达的统检、监督抽查、新产品的标准验证、企业与消费者的委托检验、产品质量纠纷仲裁检验等。现已建立全州最高计量标准和社会公用计量标准2</w:t>
      </w:r>
      <w:r>
        <w:rPr>
          <w:rFonts w:hint="default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/>
        </w:rPr>
        <w:t>2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项，通过实验室资质认定项目共33个产品、131个参数。可开展烧结普通砖、建设用卵石（砂）、混凝土小型空心砌块、建筑用塑钢窗、汽柴油、化肥、贵金属、土壤、生活饮用水、地下水、电子汽车衡、热工、燃油加油机、民用四表、医疗器械等项目的检验检定。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　  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二、机构设置及人员情况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无下属预算单位，下设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个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科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室，分别是：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综合检验室；综合检定室；业务室；财务室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编制数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，实有人数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人，其中：在职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人，减少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人；退休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增加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人；离休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人，增加或减少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 xml:space="preserve">第二部分 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2021年部门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     单位：万元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</w:t>
      </w:r>
    </w:p>
    <w:tbl>
      <w:tblPr>
        <w:tblStyle w:val="4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558.71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573.77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558.71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上级补助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15.06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社会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上级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粮油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573.77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573.77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部门收入总体情况表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          单位：万元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</w:t>
      </w:r>
    </w:p>
    <w:tbl>
      <w:tblPr>
        <w:tblStyle w:val="4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72"/>
        <w:gridCol w:w="418"/>
        <w:gridCol w:w="766"/>
        <w:gridCol w:w="817"/>
        <w:gridCol w:w="817"/>
        <w:gridCol w:w="547"/>
        <w:gridCol w:w="618"/>
        <w:gridCol w:w="538"/>
        <w:gridCol w:w="416"/>
        <w:gridCol w:w="717"/>
        <w:gridCol w:w="416"/>
        <w:gridCol w:w="419"/>
        <w:gridCol w:w="416"/>
        <w:gridCol w:w="538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总  计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一般公共预算拨款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政府性基金预算拨款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财政专户（教育收费）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事业收入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上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级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补助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收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入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事业单位经营收入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单位其他资金收入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上级专项收入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用事业基金弥补收支差额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单位上年结余（不包含国库集中支付额度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一般公共服务支出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573.77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15.06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201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38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市场监督管理事务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573.77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15.06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38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事业运行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573.77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15.06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573.77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15.06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部门支出总体情况表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单位：万元                   </w:t>
      </w:r>
    </w:p>
    <w:tbl>
      <w:tblPr>
        <w:tblStyle w:val="4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418"/>
        <w:gridCol w:w="461"/>
        <w:gridCol w:w="2419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24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类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款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项</w:t>
            </w:r>
          </w:p>
        </w:tc>
        <w:tc>
          <w:tcPr>
            <w:tcW w:w="24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573.77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573.77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市场监督管理事务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573.77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573.77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573.77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573.77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573.77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573.77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40" w:lineRule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40" w:lineRule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40" w:lineRule="auto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财政拨款收支预算总体情况表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40" w:lineRule="auto"/>
        <w:outlineLvl w:val="1"/>
        <w:rPr>
          <w:rFonts w:ascii="仿宋_GB2312" w:hAnsi="宋体" w:eastAsia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Cs w:val="21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Cs w:val="21"/>
          <w:highlight w:val="none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Cs w:val="21"/>
          <w:highlight w:val="none"/>
        </w:rPr>
        <w:t xml:space="preserve">                                   </w:t>
      </w:r>
      <w:r>
        <w:rPr>
          <w:rFonts w:hint="eastAsia" w:ascii="仿宋_GB2312" w:hAnsi="宋体" w:eastAsia="仿宋_GB2312"/>
          <w:color w:val="auto"/>
          <w:kern w:val="0"/>
          <w:szCs w:val="21"/>
          <w:highlight w:val="non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Cs w:val="21"/>
          <w:highlight w:val="none"/>
        </w:rPr>
        <w:t xml:space="preserve"> 单位：万元                     </w:t>
      </w:r>
    </w:p>
    <w:tbl>
      <w:tblPr>
        <w:tblStyle w:val="4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1001"/>
        <w:gridCol w:w="870"/>
        <w:gridCol w:w="101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功  能  分  类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合 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一般公共预算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5"/>
                <w:szCs w:val="15"/>
                <w:highlight w:val="none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558.71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201 一般公共服务支出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558.71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558.71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558.71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202 外交支出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203 国防支出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205 教育支出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206 科学技术支出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207 文化旅游体育与传媒支出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208 社会保障和就业支出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209 社会保险基金支出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210 医疗卫生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与计划生育支出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211 节能环保支出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212 城乡社区支出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213 农林水支出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214 交通运输支出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215 资源勘探工业信息等支出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216 商业服务业等支出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217 金融支出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219 援助其他地区支出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220 自然资源海洋气象等支出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221 住房保障支出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222 粮油物资储备支出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223 国有资本经营预算支出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224灾害防治及应急管理支出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227 预备费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229 其他支出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230转移性支出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231 债务还本支出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232 债务付息支出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233 债务发行费用支出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234 抗疫特别国债还本支出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558.71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支  出  总  计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558.71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558.71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表五：</w:t>
      </w:r>
    </w:p>
    <w:tbl>
      <w:tblPr>
        <w:tblStyle w:val="4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73"/>
        <w:gridCol w:w="2454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克州质量与计量检测所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2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款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</w:t>
            </w:r>
          </w:p>
        </w:tc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市场监督管理事务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38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表六：</w:t>
      </w:r>
    </w:p>
    <w:tbl>
      <w:tblPr>
        <w:tblStyle w:val="4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3056"/>
        <w:gridCol w:w="830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克州质量与计量检测所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经济分类科目编码</w:t>
            </w:r>
          </w:p>
        </w:tc>
        <w:tc>
          <w:tcPr>
            <w:tcW w:w="30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经济分类科目名称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款</w:t>
            </w:r>
          </w:p>
        </w:tc>
        <w:tc>
          <w:tcPr>
            <w:tcW w:w="30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办公费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公务用车运行维护费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办公用品及设备采购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09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奖励金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基本工资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153.50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08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机关事业单位基本养老保险缴费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53.01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07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邮电费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福利费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08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取暖费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公务接待费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工会经费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培训费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专用材料费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26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劳务费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29.00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津贴补贴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207.11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印刷费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差旅费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维修(护)费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03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奖金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其他社会保障缴费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24.45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24.45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水费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退休费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04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手续费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06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电费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住房公积金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38.32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38.32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instrText xml:space="preserve"> = sum(D6:D30) \* MERGEFORMAT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558.71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instrText xml:space="preserve"> = sum(E9:E30) \* MERGEFORMAT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497.25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61.46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表七：</w:t>
      </w:r>
    </w:p>
    <w:tbl>
      <w:tblPr>
        <w:tblStyle w:val="4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克州质量与计量检测所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0" w:firstLineChars="400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Calibri" w:hAnsi="Calibri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Cs w:val="21"/>
                <w:highlight w:val="none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6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highlight w:val="none"/>
        </w:rPr>
        <w:t>备注：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highlight w:val="none"/>
          <w:lang w:val="en-US" w:eastAsia="zh-CN"/>
        </w:rPr>
        <w:t>克州质量与计量检测所2021年无项目支出，预算拨款情况说明支出本表为空表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表八：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一般公共预算“三公”经费支出情况表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单位：万元                </w:t>
      </w:r>
    </w:p>
    <w:tbl>
      <w:tblPr>
        <w:tblStyle w:val="4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4.0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单位：万元                  </w:t>
      </w:r>
    </w:p>
    <w:tbl>
      <w:tblPr>
        <w:tblStyle w:val="4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highlight w:val="none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质量与计量检测所无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，预算拨款情况说明支出本表为空表。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 xml:space="preserve">第三部分 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部门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一、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年收支预算情况的总体说明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按照全口径预算的原则，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所有收入和支出均纳入部门预算管理。收支总预算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573.77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收入预算包括：一般公共预算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573.77万元。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支出预算包括：一般公共服务支出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573.77万元。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二、关于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收入预算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573.77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558.71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97.38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预算增加3.52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增加人员晋升工资，增加1人退休工资。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上级补助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收入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15.06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2.62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15.06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2021年我单位向主管单位申请的设备购置款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三、关于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支出预算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573.77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573.77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预算增加18.58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较上年比较人员工资晋升，多了上级补助收入用于购置仪器设备。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：未安排项目支出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关于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财政拨款收支预算情况的总体说明</w:t>
      </w:r>
    </w:p>
    <w:p>
      <w:pPr>
        <w:numPr>
          <w:ilvl w:val="0"/>
          <w:numId w:val="0"/>
        </w:numPr>
        <w:spacing w:line="560" w:lineRule="exact"/>
        <w:rPr>
          <w:rFonts w:hint="default" w:ascii="黑体" w:hAnsi="黑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年财政拨款收支总预算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558.71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收入全部为一般公共预算拨款，无政府性基金预算拨款和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558.71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558.71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单位人员经费和日常公用经费保障单位正常运行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五、关于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一般公共预算拨款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合计558.71万元，其中：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558.71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预算增加3.52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增长0.63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2020年共有13人职务晋升，虽有一人在职转退休，但总体预算人员经费较上年增加。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支出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1.一般公共服务（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类）</w:t>
      </w:r>
      <w:r>
        <w:rPr>
          <w:rFonts w:hint="eastAsia" w:ascii="楷体_GB2312" w:eastAsia="楷体_GB2312"/>
          <w:b w:val="0"/>
          <w:bCs/>
          <w:color w:val="auto"/>
          <w:sz w:val="32"/>
          <w:szCs w:val="32"/>
          <w:highlight w:val="none"/>
          <w:lang w:val="en-US" w:eastAsia="zh-CN"/>
        </w:rPr>
        <w:t>558.71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1.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一般公共服务（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类）财政事务（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38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款）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事业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运行（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项）: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558.71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预算增加3.52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增长0.63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2020年共有13人职务晋升，虽有一人在职转退休，但总体预算人员经费较上年增加。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六、关于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一般公共预算基本支出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558.98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人员经费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497.25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万元，主要包括：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住房公积金38.32万元、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奖金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12.79万元、退休费7.41万元、奖励金0.67万元、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机关事业单位基本养老保险缴费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53.01万元、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基本工资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153.50万元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其他社会保障缴费24.45万元、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津贴补贴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207.10万元。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公用经费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61.46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万元，主要包括：办公费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0.30万元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、公务用车运行维护费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4.00万元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、办公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用品及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采购1.79万元、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邮电费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1.50万元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、福利费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3.95万元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、取暖费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6.71万元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、公务接待费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、工会经费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2.20万元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培训费1.00万元、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专用材料费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2.16万元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、劳务费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29.00万元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、印刷费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、差旅费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4.00万元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、维修（护）费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3.00万元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0.50万元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、手续费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0.05万元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、电费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1.00万元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七、关于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项目支出情况说明</w:t>
      </w:r>
    </w:p>
    <w:p>
      <w:pPr>
        <w:spacing w:line="560" w:lineRule="exact"/>
        <w:ind w:firstLine="643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位：无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八、关于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，其中：因公出国（境）费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，公务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：我单位无因公出国人员，未安排此项经费；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公务用车购置费为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，未安排预算；公务用车运行费增加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按照勤俭节约的原则，严格控制三公经费只减不增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减少0.20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上年公务接待费支出较少，今年减少预算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九、关于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克州质量与计量检测所2021年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（一）机关运行经费情况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本级及下属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家行政单位、和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家事业单位的机关运行经费财政拨款预算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61.45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万元，比上年预算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减少0.56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下降0.90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%。主要原因是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新增退休人员1名，公用经费减少。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政府采购预算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39.73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万元，其中：政府采购货物预算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23.51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万元，政府采购工程预算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万元，政府采购服务预算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16.22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度本部门面向中小企业预留政府采购项目预算金额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39.73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截至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年底，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克州质量与计量检测所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1.房屋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1774.21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平方米，价值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150.08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2.车辆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86.47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万元；其中：一般公务用车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万元；执法执勤用车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万元；其他车辆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86.47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3.办公家具价值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41.86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4.其他资产价值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940.64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单位价值50万元以上大型设备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台（套）。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2021年克州质量与计量检测所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预算未安排购置车辆经费，安排购置50万元以上大型设备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台（套）。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（四）预算绩效情况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个，涉及预算金额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万元。具体情况见下表（按项目分别填报）：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tbl>
      <w:tblPr>
        <w:tblStyle w:val="4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克州质量与计量检测所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196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1.2021年克州质量与计量检测所单位性质为事业单位，因此本级机关运行经费填列的均为事业运行公用经费。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line="240" w:lineRule="auto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第四部分  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line="240" w:lineRule="auto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名词解释：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财政拨款：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安排的财政拨款数。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、基本支出：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包括人员经费、商品和服务支出（定额）。其中，人员经费包括工资福利支出、对个人和家庭的补助。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、“三公”经费：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、机关运行经费：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克州质量与计量检测所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3BAEA"/>
    <w:multiLevelType w:val="singleLevel"/>
    <w:tmpl w:val="8CD3BAE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C9D4A43"/>
    <w:multiLevelType w:val="singleLevel"/>
    <w:tmpl w:val="2C9D4A4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73D18"/>
    <w:rsid w:val="075C4916"/>
    <w:rsid w:val="0C8C68A2"/>
    <w:rsid w:val="0CCC6B87"/>
    <w:rsid w:val="0D8B46DA"/>
    <w:rsid w:val="18110695"/>
    <w:rsid w:val="1B003BB8"/>
    <w:rsid w:val="1D35087F"/>
    <w:rsid w:val="1E681334"/>
    <w:rsid w:val="21AE66D5"/>
    <w:rsid w:val="23697E65"/>
    <w:rsid w:val="242C3E66"/>
    <w:rsid w:val="278E24E2"/>
    <w:rsid w:val="27C9280F"/>
    <w:rsid w:val="2E3C701F"/>
    <w:rsid w:val="2E556DD9"/>
    <w:rsid w:val="301C1533"/>
    <w:rsid w:val="319A4E8C"/>
    <w:rsid w:val="32DF58D1"/>
    <w:rsid w:val="34C6487A"/>
    <w:rsid w:val="3AF139EF"/>
    <w:rsid w:val="42C713B6"/>
    <w:rsid w:val="467D217B"/>
    <w:rsid w:val="53BC0819"/>
    <w:rsid w:val="5EAF729C"/>
    <w:rsid w:val="60DD10C8"/>
    <w:rsid w:val="6C0509FA"/>
    <w:rsid w:val="6E884F52"/>
    <w:rsid w:val="6FE43BF0"/>
    <w:rsid w:val="74070F1D"/>
    <w:rsid w:val="74C86107"/>
    <w:rsid w:val="757D6A13"/>
    <w:rsid w:val="78C406ED"/>
    <w:rsid w:val="7C673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2021-02-08T04:44:00Z</dcterms:created>
  <dc:creator>至此流年各天涯</dc:creator>
  <cp:lastModifiedBy>至此流年各天涯</cp:lastModifiedBy>
  <cp:lastPrinted>2021-03-04T06:05:43Z</cp:lastPrinted>
  <dcterms:modified xsi:type="dcterms:W3CDTF">2021-03-04T06:33:00Z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