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b/>
          <w:bCs/>
          <w:kern w:val="0"/>
          <w:sz w:val="44"/>
          <w:szCs w:val="44"/>
        </w:rPr>
      </w:pPr>
    </w:p>
    <w:p>
      <w:pPr>
        <w:rPr>
          <w:rFonts w:asci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克孜勒苏柯尔克孜自治州生态环境局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t>2021</w:t>
      </w:r>
      <w:r>
        <w:rPr>
          <w:rFonts w:hint="eastAsia" w:ascii="方正小标宋_GBK" w:hAnsi="宋体" w:eastAsia="方正小标宋_GBK"/>
          <w:kern w:val="0"/>
          <w:sz w:val="44"/>
          <w:szCs w:val="44"/>
        </w:rPr>
        <w:t>年预算公开</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line="440" w:lineRule="exact"/>
        <w:jc w:val="center"/>
        <w:outlineLvl w:val="1"/>
        <w:rPr>
          <w:rFonts w:ascii="宋体"/>
          <w:b/>
          <w:kern w:val="0"/>
          <w:sz w:val="44"/>
          <w:szCs w:val="44"/>
        </w:rPr>
      </w:pPr>
    </w:p>
    <w:p>
      <w:pPr>
        <w:widowControl/>
        <w:spacing w:line="440" w:lineRule="exact"/>
        <w:jc w:val="center"/>
        <w:outlineLvl w:val="1"/>
        <w:rPr>
          <w:rFonts w:ascii="黑体" w:hAnsi="黑体" w:eastAsia="黑体"/>
          <w:kern w:val="0"/>
          <w:sz w:val="36"/>
          <w:szCs w:val="32"/>
        </w:rPr>
      </w:pPr>
      <w:r>
        <w:rPr>
          <w:rFonts w:hint="eastAsia" w:ascii="黑体" w:hAnsi="黑体" w:eastAsia="黑体"/>
          <w:kern w:val="0"/>
          <w:sz w:val="36"/>
          <w:szCs w:val="32"/>
        </w:rPr>
        <w:t>目</w:t>
      </w:r>
      <w:r>
        <w:rPr>
          <w:rFonts w:ascii="黑体" w:hAnsi="黑体" w:eastAsia="黑体"/>
          <w:kern w:val="0"/>
          <w:sz w:val="36"/>
          <w:szCs w:val="32"/>
        </w:rPr>
        <w:t xml:space="preserve"> </w:t>
      </w:r>
      <w:r>
        <w:rPr>
          <w:rFonts w:hint="eastAsia" w:ascii="黑体" w:hAnsi="黑体" w:eastAsia="黑体"/>
          <w:kern w:val="0"/>
          <w:sz w:val="36"/>
          <w:szCs w:val="32"/>
        </w:rPr>
        <w:t>录</w:t>
      </w:r>
    </w:p>
    <w:p>
      <w:pPr>
        <w:widowControl/>
        <w:spacing w:line="440" w:lineRule="exact"/>
        <w:ind w:firstLine="883" w:firstLineChars="200"/>
        <w:outlineLvl w:val="1"/>
        <w:rPr>
          <w:rFonts w:ascii="宋体"/>
          <w:b/>
          <w:kern w:val="0"/>
          <w:sz w:val="44"/>
          <w:szCs w:val="44"/>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克孜勒苏柯尔克孜自治州生态环境局概况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2021</w:t>
      </w:r>
      <w:r>
        <w:rPr>
          <w:rFonts w:hint="eastAsia" w:ascii="仿宋_GB2312" w:hAnsi="宋体" w:eastAsia="仿宋_GB2312"/>
          <w:b/>
          <w:kern w:val="0"/>
          <w:sz w:val="32"/>
          <w:szCs w:val="32"/>
        </w:rPr>
        <w:t>年部门预算公开表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w:t>
      </w:r>
      <w:r>
        <w:rPr>
          <w:rFonts w:hint="eastAsia" w:ascii="仿宋_GB2312" w:hAnsi="宋体" w:eastAsia="仿宋_GB2312"/>
          <w:kern w:val="0"/>
          <w:sz w:val="32"/>
          <w:szCs w:val="32"/>
          <w:lang w:eastAsia="zh-CN"/>
        </w:rPr>
        <w:t>（单位）</w:t>
      </w:r>
      <w:r>
        <w:rPr>
          <w:rFonts w:hint="eastAsia" w:ascii="仿宋_GB2312" w:hAnsi="宋体" w:eastAsia="仿宋_GB2312"/>
          <w:kern w:val="0"/>
          <w:sz w:val="32"/>
          <w:szCs w:val="32"/>
        </w:rPr>
        <w:t>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部</w:t>
      </w:r>
      <w:r>
        <w:rPr>
          <w:rFonts w:hint="eastAsia" w:ascii="仿宋_GB2312" w:hAnsi="宋体" w:eastAsia="仿宋_GB2312"/>
          <w:kern w:val="0"/>
          <w:sz w:val="32"/>
          <w:szCs w:val="32"/>
          <w:lang w:eastAsia="zh-CN"/>
        </w:rPr>
        <w:t>门（单位）</w:t>
      </w:r>
      <w:r>
        <w:rPr>
          <w:rFonts w:hint="eastAsia" w:ascii="仿宋_GB2312" w:hAnsi="宋体" w:eastAsia="仿宋_GB2312"/>
          <w:kern w:val="0"/>
          <w:sz w:val="32"/>
          <w:szCs w:val="32"/>
        </w:rPr>
        <w:t>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w:t>
      </w:r>
      <w:r>
        <w:rPr>
          <w:rFonts w:hint="eastAsia" w:ascii="仿宋_GB2312" w:hAnsi="宋体" w:eastAsia="仿宋_GB2312"/>
          <w:kern w:val="0"/>
          <w:sz w:val="32"/>
          <w:szCs w:val="32"/>
          <w:lang w:eastAsia="zh-CN"/>
        </w:rPr>
        <w:t>（单位）</w:t>
      </w:r>
      <w:r>
        <w:rPr>
          <w:rFonts w:hint="eastAsia" w:ascii="仿宋_GB2312" w:hAnsi="宋体" w:eastAsia="仿宋_GB2312"/>
          <w:kern w:val="0"/>
          <w:sz w:val="32"/>
          <w:szCs w:val="32"/>
        </w:rPr>
        <w:t>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2021</w:t>
      </w:r>
      <w:r>
        <w:rPr>
          <w:rFonts w:hint="eastAsia" w:ascii="仿宋_GB2312" w:hAnsi="宋体" w:eastAsia="仿宋_GB2312"/>
          <w:b/>
          <w:kern w:val="0"/>
          <w:sz w:val="32"/>
          <w:szCs w:val="32"/>
        </w:rPr>
        <w:t>年部门预算情况说明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一、关于克孜勒苏柯尔克孜自治州生态环境局</w:t>
      </w:r>
      <w:r>
        <w:rPr>
          <w:rFonts w:ascii="仿宋_GB2312" w:hAnsi="宋体" w:eastAsia="仿宋_GB2312"/>
          <w:kern w:val="0"/>
          <w:sz w:val="32"/>
          <w:szCs w:val="32"/>
        </w:rPr>
        <w:t>2021</w:t>
      </w:r>
      <w:r>
        <w:rPr>
          <w:rFonts w:hint="eastAsia" w:ascii="仿宋_GB2312" w:hAnsi="宋体" w:eastAsia="仿宋_GB2312"/>
          <w:kern w:val="0"/>
          <w:sz w:val="32"/>
          <w:szCs w:val="32"/>
        </w:rPr>
        <w:t>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二、关于克孜勒苏柯尔克孜自治州生态环境局</w:t>
      </w:r>
      <w:r>
        <w:rPr>
          <w:rFonts w:ascii="仿宋_GB2312" w:hAnsi="宋体" w:eastAsia="仿宋_GB2312"/>
          <w:kern w:val="0"/>
          <w:sz w:val="32"/>
          <w:szCs w:val="32"/>
        </w:rPr>
        <w:t>2021</w:t>
      </w:r>
      <w:r>
        <w:rPr>
          <w:rFonts w:hint="eastAsia" w:ascii="仿宋_GB2312" w:hAnsi="宋体" w:eastAsia="仿宋_GB2312"/>
          <w:kern w:val="0"/>
          <w:sz w:val="32"/>
          <w:szCs w:val="32"/>
        </w:rPr>
        <w:t>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三、关于克孜勒苏柯尔克孜自治州生态环境局</w:t>
      </w:r>
      <w:r>
        <w:rPr>
          <w:rFonts w:ascii="仿宋_GB2312" w:hAnsi="宋体" w:eastAsia="仿宋_GB2312"/>
          <w:kern w:val="0"/>
          <w:sz w:val="32"/>
          <w:szCs w:val="32"/>
        </w:rPr>
        <w:t>2021</w:t>
      </w:r>
      <w:r>
        <w:rPr>
          <w:rFonts w:hint="eastAsia" w:ascii="仿宋_GB2312" w:hAnsi="宋体" w:eastAsia="仿宋_GB2312"/>
          <w:kern w:val="0"/>
          <w:sz w:val="32"/>
          <w:szCs w:val="32"/>
        </w:rPr>
        <w:t>年支出预算情况说明</w:t>
      </w:r>
    </w:p>
    <w:p>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克孜勒苏柯尔克孜自治州生态环境局</w:t>
      </w:r>
      <w:r>
        <w:rPr>
          <w:rFonts w:ascii="仿宋_GB2312" w:hAnsi="宋体" w:eastAsia="仿宋_GB2312"/>
          <w:bCs/>
          <w:kern w:val="0"/>
          <w:sz w:val="32"/>
          <w:szCs w:val="32"/>
        </w:rPr>
        <w:t>2021</w:t>
      </w:r>
      <w:r>
        <w:rPr>
          <w:rFonts w:hint="eastAsia" w:ascii="仿宋_GB2312" w:hAnsi="宋体" w:eastAsia="仿宋_GB2312"/>
          <w:bCs/>
          <w:kern w:val="0"/>
          <w:sz w:val="32"/>
          <w:szCs w:val="32"/>
        </w:rPr>
        <w:t>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五、关于克孜勒苏柯尔克孜自治州生态环境局</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六、关于克孜勒苏柯尔克孜自治州生态环境局</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七、关于克孜勒苏柯尔克孜自治州生态环境局</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八、关于克孜勒苏柯尔克孜自治州生态环境局</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九、关于克孜勒苏柯尔克孜自治州生态环境局</w:t>
      </w:r>
      <w:r>
        <w:rPr>
          <w:rFonts w:ascii="仿宋_GB2312" w:hAnsi="宋体" w:eastAsia="仿宋_GB2312"/>
          <w:kern w:val="0"/>
          <w:sz w:val="32"/>
          <w:szCs w:val="32"/>
        </w:rPr>
        <w:t>2021</w:t>
      </w:r>
      <w:r>
        <w:rPr>
          <w:rFonts w:hint="eastAsia" w:ascii="仿宋_GB2312" w:hAnsi="宋体" w:eastAsia="仿宋_GB2312"/>
          <w:kern w:val="0"/>
          <w:sz w:val="32"/>
          <w:szCs w:val="32"/>
        </w:rPr>
        <w:t>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方正小标宋简体" w:hAnsi="黑体" w:eastAsia="方正小标宋简体"/>
          <w:kern w:val="0"/>
          <w:sz w:val="32"/>
          <w:szCs w:val="32"/>
        </w:rPr>
      </w:pPr>
      <w:r>
        <w:rPr>
          <w:rFonts w:hint="eastAsia" w:ascii="方正小标宋简体" w:hAnsi="黑体" w:eastAsia="方正小标宋简体"/>
          <w:kern w:val="0"/>
          <w:sz w:val="32"/>
          <w:szCs w:val="32"/>
        </w:rPr>
        <w:t>第一部分</w:t>
      </w:r>
      <w:r>
        <w:rPr>
          <w:rFonts w:ascii="方正小标宋简体" w:hAnsi="黑体" w:eastAsia="方正小标宋简体"/>
          <w:kern w:val="0"/>
          <w:sz w:val="32"/>
          <w:szCs w:val="32"/>
        </w:rPr>
        <w:t xml:space="preserve">   </w:t>
      </w:r>
      <w:r>
        <w:rPr>
          <w:rFonts w:hint="eastAsia" w:ascii="方正小标宋简体" w:hAnsi="宋体" w:eastAsia="方正小标宋简体"/>
          <w:kern w:val="0"/>
          <w:sz w:val="32"/>
          <w:szCs w:val="32"/>
        </w:rPr>
        <w:t>克孜勒苏柯尔克孜自治州生态环境局</w:t>
      </w:r>
      <w:r>
        <w:rPr>
          <w:rFonts w:hint="eastAsia" w:ascii="方正小标宋简体" w:hAnsi="黑体" w:eastAsia="方正小标宋简体"/>
          <w:kern w:val="0"/>
          <w:sz w:val="32"/>
          <w:szCs w:val="32"/>
        </w:rPr>
        <w:t>概况</w:t>
      </w:r>
    </w:p>
    <w:p>
      <w:pPr>
        <w:widowControl/>
        <w:jc w:val="center"/>
        <w:outlineLvl w:val="1"/>
        <w:rPr>
          <w:rFonts w:asci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0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lang w:eastAsia="zh-CN"/>
        </w:rPr>
        <w:t>克孜勒苏柯尔克孜自治州</w:t>
      </w:r>
      <w:r>
        <w:rPr>
          <w:rFonts w:hint="eastAsia" w:ascii="仿宋_GB2312" w:hAnsi="黑体" w:eastAsia="仿宋_GB2312" w:cs="宋体"/>
          <w:bCs/>
          <w:kern w:val="0"/>
          <w:sz w:val="32"/>
          <w:szCs w:val="32"/>
        </w:rPr>
        <w:t>生态环境局行政单位，县级，下属</w:t>
      </w:r>
      <w:r>
        <w:rPr>
          <w:rFonts w:ascii="仿宋_GB2312" w:hAnsi="黑体" w:eastAsia="仿宋_GB2312" w:cs="宋体"/>
          <w:bCs/>
          <w:kern w:val="0"/>
          <w:sz w:val="32"/>
          <w:szCs w:val="32"/>
        </w:rPr>
        <w:t>4</w:t>
      </w:r>
      <w:r>
        <w:rPr>
          <w:rFonts w:hint="eastAsia" w:ascii="仿宋_GB2312" w:hAnsi="黑体" w:eastAsia="仿宋_GB2312" w:cs="宋体"/>
          <w:bCs/>
          <w:kern w:val="0"/>
          <w:sz w:val="32"/>
          <w:szCs w:val="32"/>
        </w:rPr>
        <w:t>个科级单位：州环境监察支队（参照公务员管理）、州环境工程评估与污染物管理中心（财政全额拨款事业单位）、州环境宣传教育与信息中心（财政全额拨款事业单位）、州机动车排污监督管理中心（财政全额拨款事业单位）。</w:t>
      </w:r>
    </w:p>
    <w:p>
      <w:pPr>
        <w:widowControl/>
        <w:spacing w:line="50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州生态环境局的主要工作职责：贯彻落实党中央关于生态环境保护工作的方针政策和决策部署以及自治区、自治州党委工作要求，在履行职责过程中坚持和加强党对生态环境保护工作的集中统一领导；负责建立健全生态环境制度；负责重大生态环境问题的统筹协调和监督管理；负责监督管理自治州减排目标的落实；负责环境污染防治的监督管理；负责核与辐射安全的监督管理；负责生态环境准入的监督管理；负责生态环境监测工作；负责应对气候变化工作；负责生态环境监察工作；统一负责生态环境监督执法等工作。</w:t>
      </w:r>
    </w:p>
    <w:p>
      <w:pPr>
        <w:widowControl/>
        <w:spacing w:line="50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州环境监察支队的主要工作职责：是依法对州辖区的单位或个人执行环保法规的情况进行监督监察和处理；负责征收排污费及污染设施的监督管理；监督各种污染源、各类污染物的排放和污染处理；参加环境污染事故、纠纷和来信来访的调查处理等承办其他工作。</w:t>
      </w:r>
    </w:p>
    <w:p>
      <w:pPr>
        <w:widowControl/>
        <w:spacing w:line="50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州环境工程评估与污染物管理中心主要职责：负责综合分析规划及建设项目实施后可能造成的影响，对规划及建设项目实施的环境可行性及环境影响评价文件进行客观、公正、公开的技术评估，为环评审批提供科学的技术评估报告；负责全州环境保护和污染治理工作，承担生态文明建设示范区、生态县（市）、生态乡（镇）等创建及申报审核工作；负责环境综合整治项目、生态修复、生态环境治理项目技术审查等工作；负责辐射环境、污染物和固体废物和管理、服务及指导等工作。</w:t>
      </w:r>
    </w:p>
    <w:p>
      <w:pPr>
        <w:widowControl/>
        <w:spacing w:line="50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州环境宣传与信息中心主要职责：负责贯彻执行自治区环境保护的方针、政策、法律、法规；负责承担全州环境保护宣传教育任务；协同有关部门在中、小学及成人教育和干部培训中开展环境教育；通过各方面媒介、各种媒体面向全社会进行环境保护宣传工作；负责组织全州环境信息网络系统的建设、运行和维护；组织开展全州环境数据及环境信息的收集、传输、存储、处理及共享工作，负责</w:t>
      </w:r>
      <w:r>
        <w:rPr>
          <w:rFonts w:hint="eastAsia" w:ascii="仿宋_GB2312" w:hAnsi="黑体" w:eastAsia="仿宋_GB2312" w:cs="宋体"/>
          <w:bCs/>
          <w:kern w:val="0"/>
          <w:sz w:val="32"/>
          <w:szCs w:val="32"/>
          <w:lang w:eastAsia="zh-CN"/>
        </w:rPr>
        <w:t>克孜勒苏柯尔克孜自治州</w:t>
      </w:r>
      <w:r>
        <w:rPr>
          <w:rFonts w:hint="eastAsia" w:ascii="仿宋_GB2312" w:hAnsi="黑体" w:eastAsia="仿宋_GB2312" w:cs="宋体"/>
          <w:bCs/>
          <w:kern w:val="0"/>
          <w:sz w:val="32"/>
          <w:szCs w:val="32"/>
        </w:rPr>
        <w:t>环境数据库建设工作；承担</w:t>
      </w:r>
      <w:r>
        <w:rPr>
          <w:rFonts w:hint="eastAsia" w:ascii="仿宋_GB2312" w:hAnsi="黑体" w:eastAsia="仿宋_GB2312" w:cs="宋体"/>
          <w:bCs/>
          <w:kern w:val="0"/>
          <w:sz w:val="32"/>
          <w:szCs w:val="32"/>
          <w:lang w:eastAsia="zh-CN"/>
        </w:rPr>
        <w:t>克孜勒苏柯尔克孜自治州</w:t>
      </w:r>
      <w:r>
        <w:rPr>
          <w:rFonts w:hint="eastAsia" w:ascii="仿宋_GB2312" w:hAnsi="黑体" w:eastAsia="仿宋_GB2312" w:cs="宋体"/>
          <w:bCs/>
          <w:kern w:val="0"/>
          <w:sz w:val="32"/>
          <w:szCs w:val="32"/>
        </w:rPr>
        <w:t>环保局机关计算机网络系统、应用系统和政府网站的建设、维护和管理工作；指导县、市环境信息的业务工作，完成</w:t>
      </w:r>
      <w:r>
        <w:rPr>
          <w:rFonts w:hint="eastAsia" w:ascii="仿宋_GB2312" w:hAnsi="黑体" w:eastAsia="仿宋_GB2312" w:cs="宋体"/>
          <w:bCs/>
          <w:kern w:val="0"/>
          <w:sz w:val="32"/>
          <w:szCs w:val="32"/>
          <w:lang w:eastAsia="zh-CN"/>
        </w:rPr>
        <w:t>克孜勒苏柯尔克孜自治州</w:t>
      </w:r>
      <w:r>
        <w:rPr>
          <w:rFonts w:hint="eastAsia" w:ascii="仿宋_GB2312" w:hAnsi="黑体" w:eastAsia="仿宋_GB2312" w:cs="宋体"/>
          <w:bCs/>
          <w:kern w:val="0"/>
          <w:sz w:val="32"/>
          <w:szCs w:val="32"/>
        </w:rPr>
        <w:t>环保局交办的其他工作。</w:t>
      </w:r>
    </w:p>
    <w:p>
      <w:pPr>
        <w:widowControl/>
        <w:spacing w:line="50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州机动车排污监督管理中心主要职责：执行有关机动车排气污染防治的法律法规，拟订全州机动车排气污染防治计划、技术规范和措施；负责对机动车排气检测单位进行监督管理，对上路机动车排污进行监测，对机动车排气污染进行调查处理。</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hint="eastAsia" w:ascii="仿宋_GB2312" w:hAnsi="黑体" w:eastAsia="仿宋_GB2312" w:cs="宋体"/>
          <w:bCs/>
          <w:kern w:val="0"/>
          <w:sz w:val="32"/>
          <w:szCs w:val="32"/>
          <w:highlight w:val="none"/>
        </w:rPr>
      </w:pPr>
      <w:r>
        <w:rPr>
          <w:rFonts w:hint="eastAsia" w:ascii="仿宋_GB2312" w:hAnsi="宋体" w:eastAsia="仿宋_GB2312" w:cs="宋体"/>
          <w:kern w:val="0"/>
          <w:sz w:val="32"/>
          <w:szCs w:val="32"/>
          <w:highlight w:val="none"/>
        </w:rPr>
        <w:t>克</w:t>
      </w:r>
      <w:r>
        <w:rPr>
          <w:rFonts w:hint="eastAsia" w:ascii="仿宋_GB2312" w:hAnsi="宋体" w:eastAsia="仿宋_GB2312"/>
          <w:kern w:val="0"/>
          <w:sz w:val="32"/>
          <w:szCs w:val="32"/>
          <w:highlight w:val="none"/>
        </w:rPr>
        <w:t>孜勒苏柯尔克孜自治州生态环境局</w:t>
      </w:r>
      <w:r>
        <w:rPr>
          <w:rFonts w:hint="eastAsia" w:ascii="仿宋_GB2312" w:hAnsi="黑体" w:eastAsia="仿宋_GB2312" w:cs="宋体"/>
          <w:bCs/>
          <w:kern w:val="0"/>
          <w:sz w:val="32"/>
          <w:szCs w:val="32"/>
          <w:highlight w:val="none"/>
        </w:rPr>
        <w:t>无下属预算单位，下设</w:t>
      </w:r>
      <w:r>
        <w:rPr>
          <w:rFonts w:hint="eastAsia" w:ascii="仿宋_GB2312" w:hAnsi="黑体" w:eastAsia="仿宋_GB2312" w:cs="宋体"/>
          <w:bCs/>
          <w:kern w:val="0"/>
          <w:sz w:val="32"/>
          <w:szCs w:val="32"/>
          <w:highlight w:val="none"/>
          <w:lang w:val="en-US" w:eastAsia="zh-CN"/>
        </w:rPr>
        <w:t>7</w:t>
      </w:r>
      <w:r>
        <w:rPr>
          <w:rFonts w:hint="eastAsia" w:ascii="仿宋_GB2312" w:hAnsi="黑体" w:eastAsia="仿宋_GB2312" w:cs="宋体"/>
          <w:bCs/>
          <w:kern w:val="0"/>
          <w:sz w:val="32"/>
          <w:szCs w:val="32"/>
          <w:highlight w:val="none"/>
        </w:rPr>
        <w:t>个科室</w:t>
      </w:r>
      <w:r>
        <w:rPr>
          <w:rFonts w:hint="eastAsia" w:ascii="仿宋_GB2312" w:hAnsi="黑体" w:eastAsia="仿宋_GB2312" w:cs="宋体"/>
          <w:bCs/>
          <w:kern w:val="0"/>
          <w:sz w:val="32"/>
          <w:szCs w:val="32"/>
          <w:highlight w:val="none"/>
          <w:lang w:val="en-US" w:eastAsia="zh-CN"/>
        </w:rPr>
        <w:t>,</w:t>
      </w:r>
      <w:r>
        <w:rPr>
          <w:rFonts w:hint="eastAsia" w:ascii="仿宋_GB2312" w:hAnsi="黑体" w:eastAsia="仿宋_GB2312" w:cs="宋体"/>
          <w:bCs/>
          <w:kern w:val="0"/>
          <w:sz w:val="32"/>
          <w:szCs w:val="32"/>
          <w:highlight w:val="none"/>
        </w:rPr>
        <w:t>分别是：办公室、监督管理科、污染防治科、州环境监察支队、州环境工程评估与污染物管理中心、州环境宣传教育与信息中心、州机动车排污监督管理中心。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w:t>
      </w:r>
      <w:r>
        <w:rPr>
          <w:rFonts w:hint="eastAsia" w:ascii="仿宋_GB2312" w:hAnsi="宋体" w:eastAsia="仿宋_GB2312"/>
          <w:kern w:val="0"/>
          <w:sz w:val="32"/>
          <w:szCs w:val="32"/>
        </w:rPr>
        <w:t>孜勒苏柯尔克孜自治州生态环境局</w:t>
      </w:r>
      <w:r>
        <w:rPr>
          <w:rFonts w:hint="eastAsia" w:ascii="仿宋_GB2312" w:hAnsi="宋体" w:eastAsia="仿宋_GB2312" w:cs="宋体"/>
          <w:kern w:val="0"/>
          <w:sz w:val="32"/>
          <w:szCs w:val="32"/>
        </w:rPr>
        <w:t>单位编制数</w:t>
      </w:r>
      <w:r>
        <w:rPr>
          <w:rFonts w:ascii="仿宋_GB2312" w:hAnsi="宋体" w:eastAsia="仿宋_GB2312" w:cs="宋体"/>
          <w:kern w:val="0"/>
          <w:sz w:val="32"/>
          <w:szCs w:val="32"/>
        </w:rPr>
        <w:t>36</w:t>
      </w:r>
      <w:r>
        <w:rPr>
          <w:rFonts w:hint="eastAsia" w:ascii="仿宋_GB2312" w:hAnsi="宋体" w:eastAsia="仿宋_GB2312" w:cs="宋体"/>
          <w:kern w:val="0"/>
          <w:sz w:val="32"/>
          <w:szCs w:val="32"/>
        </w:rPr>
        <w:t>，实有人数</w:t>
      </w:r>
      <w:r>
        <w:rPr>
          <w:rFonts w:ascii="仿宋_GB2312" w:hAnsi="宋体" w:eastAsia="仿宋_GB2312" w:cs="宋体"/>
          <w:kern w:val="0"/>
          <w:sz w:val="32"/>
          <w:szCs w:val="32"/>
        </w:rPr>
        <w:t>43</w:t>
      </w:r>
      <w:r>
        <w:rPr>
          <w:rFonts w:hint="eastAsia" w:ascii="仿宋_GB2312" w:hAnsi="宋体" w:eastAsia="仿宋_GB2312" w:cs="宋体"/>
          <w:kern w:val="0"/>
          <w:sz w:val="32"/>
          <w:szCs w:val="32"/>
        </w:rPr>
        <w:t>人，其中：在职</w:t>
      </w:r>
      <w:r>
        <w:rPr>
          <w:rFonts w:ascii="仿宋_GB2312" w:hAnsi="宋体" w:eastAsia="仿宋_GB2312" w:cs="宋体"/>
          <w:kern w:val="0"/>
          <w:sz w:val="32"/>
          <w:szCs w:val="32"/>
        </w:rPr>
        <w:t>30</w:t>
      </w:r>
      <w:r>
        <w:rPr>
          <w:rFonts w:hint="eastAsia" w:ascii="仿宋_GB2312" w:hAnsi="宋体" w:eastAsia="仿宋_GB2312" w:cs="宋体"/>
          <w:kern w:val="0"/>
          <w:sz w:val="32"/>
          <w:szCs w:val="32"/>
        </w:rPr>
        <w:t>人，增加</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人；</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退休</w:t>
      </w:r>
      <w:r>
        <w:rPr>
          <w:rFonts w:ascii="仿宋_GB2312" w:hAnsi="宋体" w:eastAsia="仿宋_GB2312" w:cs="宋体"/>
          <w:kern w:val="0"/>
          <w:sz w:val="32"/>
          <w:szCs w:val="32"/>
        </w:rPr>
        <w:t>13</w:t>
      </w:r>
      <w:r>
        <w:rPr>
          <w:rFonts w:hint="eastAsia" w:ascii="仿宋_GB2312" w:hAnsi="宋体" w:eastAsia="仿宋_GB2312" w:cs="宋体"/>
          <w:kern w:val="0"/>
          <w:sz w:val="32"/>
          <w:szCs w:val="32"/>
        </w:rPr>
        <w:t>人，减少</w:t>
      </w:r>
      <w:r>
        <w:rPr>
          <w:rFonts w:ascii="仿宋_GB2312" w:hAnsi="宋体" w:eastAsia="仿宋_GB2312" w:cs="宋体"/>
          <w:kern w:val="0"/>
          <w:sz w:val="32"/>
          <w:szCs w:val="32"/>
        </w:rPr>
        <w:t>1</w:t>
      </w:r>
      <w:r>
        <w:rPr>
          <w:rFonts w:hint="eastAsia" w:ascii="仿宋_GB2312" w:hAnsi="宋体" w:eastAsia="仿宋_GB2312" w:cs="宋体"/>
          <w:kern w:val="0"/>
          <w:sz w:val="32"/>
          <w:szCs w:val="32"/>
        </w:rPr>
        <w:t>人；离休</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人，增加</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人。</w:t>
      </w: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280" w:lineRule="exact"/>
        <w:jc w:val="both"/>
        <w:outlineLvl w:val="1"/>
        <w:rPr>
          <w:rFonts w:ascii="黑体" w:hAnsi="黑体" w:eastAsia="黑体"/>
          <w:kern w:val="0"/>
          <w:sz w:val="32"/>
          <w:szCs w:val="32"/>
        </w:rPr>
      </w:pPr>
    </w:p>
    <w:p>
      <w:pPr>
        <w:widowControl/>
        <w:spacing w:line="580" w:lineRule="exact"/>
        <w:jc w:val="center"/>
        <w:outlineLvl w:val="1"/>
        <w:rPr>
          <w:rFonts w:ascii="仿宋_GB2312" w:hAnsi="宋体" w:eastAsia="仿宋_GB2312"/>
          <w:b/>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2021</w:t>
      </w:r>
      <w:r>
        <w:rPr>
          <w:rFonts w:hint="eastAsia" w:ascii="黑体" w:hAnsi="黑体" w:eastAsia="黑体"/>
          <w:kern w:val="0"/>
          <w:sz w:val="32"/>
          <w:szCs w:val="32"/>
        </w:rPr>
        <w:t>年部门（单位）预算公开表</w:t>
      </w:r>
    </w:p>
    <w:p>
      <w:pPr>
        <w:widowControl/>
        <w:spacing w:line="32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32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40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cs="宋体"/>
          <w:spacing w:val="-20"/>
          <w:kern w:val="0"/>
          <w:sz w:val="24"/>
        </w:rPr>
        <w:t>克</w:t>
      </w:r>
      <w:r>
        <w:rPr>
          <w:rFonts w:hint="eastAsia" w:ascii="仿宋_GB2312" w:hAnsi="宋体" w:eastAsia="仿宋_GB2312"/>
          <w:spacing w:val="-20"/>
          <w:kern w:val="0"/>
          <w:sz w:val="24"/>
        </w:rPr>
        <w:t>孜勒苏柯尔克孜自治州生态环境局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4990" w:type="pct"/>
        <w:tblInd w:w="0" w:type="dxa"/>
        <w:tblLayout w:type="autofit"/>
        <w:tblCellMar>
          <w:top w:w="0" w:type="dxa"/>
          <w:left w:w="108" w:type="dxa"/>
          <w:bottom w:w="0" w:type="dxa"/>
          <w:right w:w="108" w:type="dxa"/>
        </w:tblCellMar>
      </w:tblPr>
      <w:tblGrid>
        <w:gridCol w:w="4188"/>
        <w:gridCol w:w="959"/>
        <w:gridCol w:w="2992"/>
        <w:gridCol w:w="959"/>
      </w:tblGrid>
      <w:tr>
        <w:tblPrEx>
          <w:tblCellMar>
            <w:top w:w="0" w:type="dxa"/>
            <w:left w:w="108" w:type="dxa"/>
            <w:bottom w:w="0" w:type="dxa"/>
            <w:right w:w="108" w:type="dxa"/>
          </w:tblCellMar>
        </w:tblPrEx>
        <w:trPr>
          <w:trHeight w:val="353" w:hRule="atLeast"/>
        </w:trPr>
        <w:tc>
          <w:tcPr>
            <w:tcW w:w="2828" w:type="pct"/>
            <w:gridSpan w:val="2"/>
            <w:tcBorders>
              <w:top w:val="single" w:color="auto" w:sz="4" w:space="0"/>
              <w:left w:val="single" w:color="auto" w:sz="4" w:space="0"/>
              <w:bottom w:val="single" w:color="auto" w:sz="4" w:space="0"/>
              <w:right w:val="single" w:color="000000" w:sz="4" w:space="0"/>
            </w:tcBorders>
            <w:noWrap/>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2171" w:type="pct"/>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527"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1644"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527"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527" w:type="pct"/>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585.21</w:t>
            </w: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527" w:type="pct"/>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585.21</w:t>
            </w: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527" w:type="pct"/>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center"/>
          </w:tcPr>
          <w:p>
            <w:pPr>
              <w:widowControl/>
              <w:spacing w:line="280" w:lineRule="exact"/>
              <w:ind w:firstLine="360" w:firstLineChars="20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国有资本经营预算</w:t>
            </w:r>
          </w:p>
        </w:tc>
        <w:tc>
          <w:tcPr>
            <w:tcW w:w="527" w:type="pct"/>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教育收费（财政专户）</w:t>
            </w:r>
          </w:p>
        </w:tc>
        <w:tc>
          <w:tcPr>
            <w:tcW w:w="527" w:type="pct"/>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5.2</w:t>
            </w:r>
            <w:r>
              <w:rPr>
                <w:rFonts w:hint="eastAsia" w:ascii="仿宋_GB2312" w:hAnsi="宋体" w:eastAsia="仿宋_GB2312" w:cs="宋体"/>
                <w:kern w:val="0"/>
                <w:sz w:val="18"/>
                <w:szCs w:val="18"/>
                <w:lang w:val="en-US" w:eastAsia="zh-CN"/>
              </w:rPr>
              <w:t>0</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事业收入</w:t>
            </w:r>
          </w:p>
        </w:tc>
        <w:tc>
          <w:tcPr>
            <w:tcW w:w="527" w:type="pct"/>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17.00</w:t>
            </w: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上级补助收入</w:t>
            </w:r>
          </w:p>
        </w:tc>
        <w:tc>
          <w:tcPr>
            <w:tcW w:w="527" w:type="pct"/>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事业单位经营收入</w:t>
            </w:r>
          </w:p>
        </w:tc>
        <w:tc>
          <w:tcPr>
            <w:tcW w:w="527" w:type="pct"/>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单位其他资金收入</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上级专项收入</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210</w:t>
            </w:r>
            <w:r>
              <w:rPr>
                <w:rFonts w:hint="eastAsia" w:ascii="仿宋_GB2312" w:hAnsi="宋体" w:eastAsia="仿宋_GB2312" w:cs="宋体"/>
                <w:kern w:val="0"/>
                <w:sz w:val="18"/>
                <w:szCs w:val="18"/>
              </w:rPr>
              <w:t>卫生健康支出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用事业基金弥补收支差额</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597.01</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资源勘探工业信息等支出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粮油物资管理支出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w:t>
            </w:r>
            <w:r>
              <w:rPr>
                <w:rFonts w:hint="eastAsia" w:ascii="仿宋_GB2312" w:hAnsi="宋体" w:eastAsia="仿宋_GB2312" w:cs="宋体"/>
                <w:kern w:val="0"/>
                <w:sz w:val="18"/>
                <w:szCs w:val="18"/>
              </w:rPr>
              <w:t>灾害防治及应急管理支出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27" w:type="pct"/>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44" w:type="pct"/>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债务发行费用支出</w:t>
            </w:r>
          </w:p>
        </w:tc>
        <w:tc>
          <w:tcPr>
            <w:tcW w:w="527" w:type="pct"/>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8" w:hRule="exact"/>
        </w:trPr>
        <w:tc>
          <w:tcPr>
            <w:tcW w:w="2301" w:type="pct"/>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527" w:type="pct"/>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1644" w:type="pct"/>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宋体" w:cs="宋体"/>
                <w:color w:val="000000"/>
                <w:sz w:val="18"/>
                <w:szCs w:val="18"/>
              </w:rPr>
            </w:pPr>
            <w:r>
              <w:rPr>
                <w:rFonts w:ascii="仿宋_GB2312" w:hAnsi="宋体" w:eastAsia="仿宋_GB2312" w:cs="宋体"/>
                <w:color w:val="000000"/>
                <w:kern w:val="0"/>
                <w:sz w:val="18"/>
                <w:szCs w:val="18"/>
              </w:rPr>
              <w:t xml:space="preserve">234 </w:t>
            </w:r>
            <w:r>
              <w:rPr>
                <w:rFonts w:hint="eastAsia" w:ascii="仿宋_GB2312" w:hAnsi="宋体" w:eastAsia="仿宋_GB2312" w:cs="宋体"/>
                <w:color w:val="000000"/>
                <w:kern w:val="0"/>
                <w:sz w:val="18"/>
                <w:szCs w:val="18"/>
              </w:rPr>
              <w:t>抗疫特别国债还本支出</w:t>
            </w:r>
          </w:p>
        </w:tc>
        <w:tc>
          <w:tcPr>
            <w:tcW w:w="527"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58" w:hRule="atLeast"/>
        </w:trPr>
        <w:tc>
          <w:tcPr>
            <w:tcW w:w="230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16"/>
                <w:szCs w:val="16"/>
              </w:rPr>
            </w:pPr>
            <w:r>
              <w:rPr>
                <w:rFonts w:hint="eastAsia" w:ascii="宋体" w:hAnsi="宋体" w:eastAsia="宋体" w:cs="宋体"/>
                <w:i w:val="0"/>
                <w:color w:val="000000"/>
                <w:kern w:val="0"/>
                <w:sz w:val="18"/>
                <w:szCs w:val="18"/>
                <w:u w:val="none"/>
                <w:lang w:val="en-US" w:eastAsia="zh-CN" w:bidi="ar"/>
              </w:rPr>
              <w:t>本  年 收 入 小 计</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16"/>
                <w:szCs w:val="16"/>
              </w:rPr>
            </w:pPr>
            <w:r>
              <w:rPr>
                <w:rFonts w:hint="eastAsia" w:ascii="宋体" w:hAnsi="宋体" w:eastAsia="宋体" w:cs="宋体"/>
                <w:i w:val="0"/>
                <w:color w:val="000000"/>
                <w:kern w:val="0"/>
                <w:sz w:val="18"/>
                <w:szCs w:val="18"/>
                <w:u w:val="none"/>
                <w:lang w:val="en-US" w:eastAsia="zh-CN" w:bidi="ar"/>
              </w:rPr>
              <w:t xml:space="preserve">602.21 </w:t>
            </w:r>
          </w:p>
        </w:tc>
        <w:tc>
          <w:tcPr>
            <w:tcW w:w="16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仿宋_GB2312" w:hAnsi="宋体" w:eastAsia="仿宋_GB2312" w:cs="宋体"/>
                <w:kern w:val="0"/>
                <w:sz w:val="18"/>
                <w:szCs w:val="18"/>
              </w:rPr>
            </w:pPr>
            <w:r>
              <w:rPr>
                <w:rFonts w:hint="eastAsia" w:ascii="宋体" w:hAnsi="宋体" w:eastAsia="宋体" w:cs="宋体"/>
                <w:i w:val="0"/>
                <w:color w:val="000000"/>
                <w:kern w:val="0"/>
                <w:sz w:val="18"/>
                <w:szCs w:val="18"/>
                <w:u w:val="none"/>
                <w:lang w:val="en-US" w:eastAsia="zh-CN" w:bidi="ar"/>
              </w:rPr>
              <w:t>本  年  支  出  小  计</w:t>
            </w:r>
          </w:p>
        </w:tc>
        <w:tc>
          <w:tcPr>
            <w:tcW w:w="5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仿宋_GB2312" w:hAnsi="宋体" w:eastAsia="仿宋_GB2312" w:cs="宋体"/>
                <w:kern w:val="0"/>
                <w:sz w:val="16"/>
                <w:szCs w:val="16"/>
              </w:rPr>
            </w:pPr>
            <w:r>
              <w:rPr>
                <w:rFonts w:hint="eastAsia" w:ascii="宋体" w:hAnsi="宋体" w:eastAsia="宋体" w:cs="宋体"/>
                <w:i w:val="0"/>
                <w:color w:val="000000"/>
                <w:kern w:val="0"/>
                <w:sz w:val="16"/>
                <w:szCs w:val="16"/>
                <w:u w:val="none"/>
                <w:lang w:val="en-US" w:eastAsia="zh-CN" w:bidi="ar"/>
              </w:rPr>
              <w:t xml:space="preserve">602.21 </w:t>
            </w:r>
          </w:p>
        </w:tc>
      </w:tr>
      <w:tr>
        <w:tblPrEx>
          <w:tblCellMar>
            <w:top w:w="0" w:type="dxa"/>
            <w:left w:w="108" w:type="dxa"/>
            <w:bottom w:w="0" w:type="dxa"/>
            <w:right w:w="108" w:type="dxa"/>
          </w:tblCellMar>
        </w:tblPrEx>
        <w:trPr>
          <w:trHeight w:val="358" w:hRule="atLeast"/>
        </w:trPr>
        <w:tc>
          <w:tcPr>
            <w:tcW w:w="2301"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仿宋_GB2312" w:hAnsi="宋体" w:eastAsia="仿宋_GB2312" w:cs="宋体"/>
                <w:kern w:val="0"/>
                <w:sz w:val="18"/>
                <w:szCs w:val="18"/>
              </w:rPr>
            </w:pPr>
            <w:r>
              <w:rPr>
                <w:rFonts w:hint="eastAsia" w:ascii="宋体" w:hAnsi="宋体" w:eastAsia="宋体" w:cs="宋体"/>
                <w:i w:val="0"/>
                <w:color w:val="000000"/>
                <w:kern w:val="0"/>
                <w:sz w:val="16"/>
                <w:szCs w:val="16"/>
                <w:u w:val="none"/>
                <w:lang w:val="en-US" w:eastAsia="zh-CN" w:bidi="ar"/>
              </w:rPr>
              <w:t>单位上年结余（不包含国库集中支付额度结余）</w:t>
            </w:r>
          </w:p>
        </w:tc>
        <w:tc>
          <w:tcPr>
            <w:tcW w:w="527" w:type="pct"/>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rPr>
            </w:pPr>
          </w:p>
        </w:tc>
        <w:tc>
          <w:tcPr>
            <w:tcW w:w="16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18"/>
                <w:szCs w:val="18"/>
                <w:u w:val="none"/>
                <w:lang w:val="en-US" w:eastAsia="zh-CN" w:bidi="ar"/>
              </w:rPr>
              <w:t>230 转移性支出</w:t>
            </w:r>
          </w:p>
        </w:tc>
        <w:tc>
          <w:tcPr>
            <w:tcW w:w="527" w:type="pct"/>
            <w:tcBorders>
              <w:top w:val="single" w:color="auto" w:sz="4" w:space="0"/>
              <w:left w:val="single" w:color="auto" w:sz="4" w:space="0"/>
              <w:bottom w:val="single" w:color="auto" w:sz="4" w:space="0"/>
              <w:right w:val="single" w:color="auto" w:sz="4" w:space="0"/>
            </w:tcBorders>
            <w:noWrap/>
            <w:vAlign w:val="center"/>
          </w:tcPr>
          <w:p>
            <w:pPr>
              <w:jc w:val="right"/>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367" w:hRule="atLeast"/>
        </w:trPr>
        <w:tc>
          <w:tcPr>
            <w:tcW w:w="230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18"/>
                <w:szCs w:val="18"/>
                <w:u w:val="none"/>
                <w:lang w:val="en-US" w:eastAsia="zh-CN" w:bidi="ar"/>
              </w:rPr>
              <w:t>收      入      总      计</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16"/>
                <w:szCs w:val="16"/>
              </w:rPr>
            </w:pPr>
            <w:r>
              <w:rPr>
                <w:rFonts w:hint="eastAsia" w:ascii="宋体" w:hAnsi="宋体" w:eastAsia="宋体" w:cs="宋体"/>
                <w:i w:val="0"/>
                <w:color w:val="000000"/>
                <w:kern w:val="0"/>
                <w:sz w:val="16"/>
                <w:szCs w:val="16"/>
                <w:u w:val="none"/>
                <w:lang w:val="en-US" w:eastAsia="zh-CN" w:bidi="ar"/>
              </w:rPr>
              <w:t>602.21</w:t>
            </w:r>
          </w:p>
        </w:tc>
        <w:tc>
          <w:tcPr>
            <w:tcW w:w="16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18"/>
                <w:szCs w:val="18"/>
                <w:u w:val="none"/>
                <w:lang w:val="en-US" w:eastAsia="zh-CN" w:bidi="ar"/>
              </w:rPr>
              <w:t>支   出  总   计</w:t>
            </w:r>
          </w:p>
        </w:tc>
        <w:tc>
          <w:tcPr>
            <w:tcW w:w="52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仿宋_GB2312" w:hAnsi="宋体" w:eastAsia="仿宋_GB2312" w:cs="宋体"/>
                <w:kern w:val="0"/>
                <w:sz w:val="16"/>
                <w:szCs w:val="16"/>
              </w:rPr>
            </w:pPr>
            <w:r>
              <w:rPr>
                <w:rFonts w:hint="eastAsia" w:ascii="宋体" w:hAnsi="宋体" w:eastAsia="宋体" w:cs="宋体"/>
                <w:i w:val="0"/>
                <w:color w:val="000000"/>
                <w:kern w:val="0"/>
                <w:sz w:val="16"/>
                <w:szCs w:val="16"/>
                <w:u w:val="none"/>
                <w:lang w:val="en-US" w:eastAsia="zh-CN" w:bidi="ar"/>
              </w:rPr>
              <w:t xml:space="preserve">602.21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cs="宋体"/>
          <w:spacing w:val="-20"/>
          <w:kern w:val="0"/>
          <w:sz w:val="24"/>
        </w:rPr>
        <w:t>克</w:t>
      </w:r>
      <w:r>
        <w:rPr>
          <w:rFonts w:hint="eastAsia" w:ascii="仿宋_GB2312" w:hAnsi="宋体" w:eastAsia="仿宋_GB2312"/>
          <w:spacing w:val="-20"/>
          <w:kern w:val="0"/>
          <w:sz w:val="24"/>
        </w:rPr>
        <w:t>孜勒苏柯尔克孜自治州生态环境局</w:t>
      </w:r>
      <w:r>
        <w:rPr>
          <w:rFonts w:ascii="仿宋_GB2312" w:hAnsi="宋体" w:eastAsia="仿宋_GB2312"/>
          <w:spacing w:val="-20"/>
          <w:kern w:val="0"/>
          <w:sz w:val="24"/>
        </w:rPr>
        <w:t xml:space="preserve">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4985" w:type="pct"/>
        <w:tblInd w:w="0" w:type="dxa"/>
        <w:tblLayout w:type="autofit"/>
        <w:tblCellMar>
          <w:top w:w="0" w:type="dxa"/>
          <w:left w:w="108" w:type="dxa"/>
          <w:bottom w:w="0" w:type="dxa"/>
          <w:right w:w="108" w:type="dxa"/>
        </w:tblCellMar>
      </w:tblPr>
      <w:tblGrid>
        <w:gridCol w:w="531"/>
        <w:gridCol w:w="420"/>
        <w:gridCol w:w="429"/>
        <w:gridCol w:w="1014"/>
        <w:gridCol w:w="952"/>
        <w:gridCol w:w="847"/>
        <w:gridCol w:w="417"/>
        <w:gridCol w:w="618"/>
        <w:gridCol w:w="417"/>
        <w:gridCol w:w="417"/>
        <w:gridCol w:w="741"/>
        <w:gridCol w:w="417"/>
        <w:gridCol w:w="417"/>
        <w:gridCol w:w="417"/>
        <w:gridCol w:w="417"/>
        <w:gridCol w:w="618"/>
      </w:tblGrid>
      <w:tr>
        <w:tblPrEx>
          <w:tblCellMar>
            <w:top w:w="0" w:type="dxa"/>
            <w:left w:w="108" w:type="dxa"/>
            <w:bottom w:w="0" w:type="dxa"/>
            <w:right w:w="108" w:type="dxa"/>
          </w:tblCellMar>
        </w:tblPrEx>
        <w:trPr>
          <w:trHeight w:val="2692" w:hRule="atLeast"/>
        </w:trPr>
        <w:tc>
          <w:tcPr>
            <w:tcW w:w="75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557" w:type="pc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523" w:type="pc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w:t>
            </w:r>
            <w:r>
              <w:rPr>
                <w:rFonts w:ascii="仿宋_GB2312" w:eastAsia="仿宋_GB2312"/>
                <w:b/>
                <w:color w:val="000000"/>
                <w:sz w:val="20"/>
                <w:szCs w:val="20"/>
              </w:rPr>
              <w:t xml:space="preserve">  </w:t>
            </w:r>
            <w:r>
              <w:rPr>
                <w:rFonts w:hint="eastAsia" w:ascii="仿宋_GB2312" w:eastAsia="仿宋_GB2312"/>
                <w:b/>
                <w:color w:val="000000"/>
                <w:sz w:val="20"/>
                <w:szCs w:val="20"/>
              </w:rPr>
              <w:t>计</w:t>
            </w:r>
          </w:p>
        </w:tc>
        <w:tc>
          <w:tcPr>
            <w:tcW w:w="465" w:type="pc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229" w:type="pc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339" w:type="pc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229" w:type="pc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b/>
                <w:color w:val="000000"/>
                <w:sz w:val="20"/>
                <w:szCs w:val="20"/>
                <w:lang w:eastAsia="zh-CN"/>
              </w:rPr>
            </w:pPr>
            <w:r>
              <w:rPr>
                <w:rFonts w:hint="eastAsia" w:ascii="仿宋_GB2312" w:eastAsia="仿宋_GB2312"/>
                <w:b/>
                <w:color w:val="000000"/>
                <w:sz w:val="20"/>
                <w:szCs w:val="20"/>
                <w:lang w:eastAsia="zh-CN"/>
              </w:rPr>
              <w:t>国有资本经营预算</w:t>
            </w:r>
          </w:p>
        </w:tc>
        <w:tc>
          <w:tcPr>
            <w:tcW w:w="229" w:type="pc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07" w:type="pct"/>
            <w:tcBorders>
              <w:top w:val="single" w:color="auto" w:sz="4" w:space="0"/>
              <w:left w:val="single" w:color="auto" w:sz="4" w:space="0"/>
              <w:bottom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w:t>
            </w:r>
          </w:p>
          <w:p>
            <w:pPr>
              <w:rPr>
                <w:rFonts w:ascii="仿宋_GB2312" w:eastAsia="仿宋_GB2312"/>
                <w:b/>
                <w:color w:val="000000"/>
                <w:sz w:val="20"/>
                <w:szCs w:val="20"/>
              </w:rPr>
            </w:pPr>
            <w:r>
              <w:rPr>
                <w:rFonts w:hint="eastAsia" w:ascii="仿宋_GB2312" w:eastAsia="仿宋_GB2312"/>
                <w:b/>
                <w:color w:val="000000"/>
                <w:sz w:val="20"/>
                <w:szCs w:val="20"/>
              </w:rPr>
              <w:t>级</w:t>
            </w:r>
          </w:p>
          <w:p>
            <w:pPr>
              <w:rPr>
                <w:rFonts w:hint="eastAsia" w:ascii="仿宋_GB2312" w:eastAsia="仿宋_GB2312"/>
                <w:b/>
                <w:color w:val="000000"/>
                <w:sz w:val="20"/>
                <w:szCs w:val="20"/>
              </w:rPr>
            </w:pPr>
            <w:r>
              <w:rPr>
                <w:rFonts w:hint="eastAsia" w:ascii="仿宋_GB2312" w:eastAsia="仿宋_GB2312"/>
                <w:b/>
                <w:color w:val="000000"/>
                <w:sz w:val="20"/>
                <w:szCs w:val="20"/>
              </w:rPr>
              <w:t>补</w:t>
            </w:r>
          </w:p>
          <w:p>
            <w:pPr>
              <w:rPr>
                <w:rFonts w:ascii="仿宋_GB2312" w:eastAsia="仿宋_GB2312"/>
                <w:b/>
                <w:color w:val="000000"/>
                <w:sz w:val="20"/>
                <w:szCs w:val="20"/>
              </w:rPr>
            </w:pPr>
            <w:r>
              <w:rPr>
                <w:rFonts w:hint="eastAsia" w:ascii="仿宋_GB2312" w:eastAsia="仿宋_GB2312"/>
                <w:b/>
                <w:color w:val="000000"/>
                <w:sz w:val="20"/>
                <w:szCs w:val="20"/>
              </w:rPr>
              <w:t>助</w:t>
            </w:r>
          </w:p>
          <w:p>
            <w:pPr>
              <w:rPr>
                <w:rFonts w:ascii="仿宋_GB2312" w:eastAsia="仿宋_GB2312"/>
                <w:b/>
                <w:color w:val="000000"/>
                <w:sz w:val="20"/>
                <w:szCs w:val="20"/>
              </w:rPr>
            </w:pPr>
            <w:r>
              <w:rPr>
                <w:rFonts w:hint="eastAsia" w:ascii="仿宋_GB2312" w:eastAsia="仿宋_GB2312"/>
                <w:b/>
                <w:color w:val="000000"/>
                <w:sz w:val="20"/>
                <w:szCs w:val="20"/>
              </w:rPr>
              <w:t>收</w:t>
            </w:r>
          </w:p>
          <w:p>
            <w:pPr>
              <w:rPr>
                <w:rFonts w:ascii="仿宋_GB2312" w:eastAsia="仿宋_GB2312"/>
                <w:b/>
                <w:color w:val="000000"/>
                <w:sz w:val="20"/>
                <w:szCs w:val="20"/>
              </w:rPr>
            </w:pPr>
            <w:r>
              <w:rPr>
                <w:rFonts w:hint="eastAsia" w:ascii="仿宋_GB2312" w:eastAsia="仿宋_GB2312"/>
                <w:b/>
                <w:color w:val="000000"/>
                <w:sz w:val="20"/>
                <w:szCs w:val="20"/>
              </w:rPr>
              <w:t>入</w:t>
            </w:r>
          </w:p>
        </w:tc>
        <w:tc>
          <w:tcPr>
            <w:tcW w:w="229" w:type="pc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229" w:type="pc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c>
          <w:tcPr>
            <w:tcW w:w="22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上级专项收入</w:t>
            </w:r>
          </w:p>
        </w:tc>
        <w:tc>
          <w:tcPr>
            <w:tcW w:w="22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用事业基金弥补收支差额</w:t>
            </w: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单位上年结余（不包含国库集中支付额度</w:t>
            </w:r>
          </w:p>
        </w:tc>
      </w:tr>
      <w:tr>
        <w:tblPrEx>
          <w:tblCellMar>
            <w:top w:w="0" w:type="dxa"/>
            <w:left w:w="108" w:type="dxa"/>
            <w:bottom w:w="0" w:type="dxa"/>
            <w:right w:w="108" w:type="dxa"/>
          </w:tblCellMar>
        </w:tblPrEx>
        <w:trPr>
          <w:trHeight w:val="447" w:hRule="atLeast"/>
        </w:trPr>
        <w:tc>
          <w:tcPr>
            <w:tcW w:w="29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205</w:t>
            </w:r>
          </w:p>
        </w:tc>
        <w:tc>
          <w:tcPr>
            <w:tcW w:w="231" w:type="pct"/>
            <w:tcBorders>
              <w:top w:val="nil"/>
              <w:left w:val="nil"/>
              <w:bottom w:val="single" w:color="auto" w:sz="4" w:space="0"/>
              <w:right w:val="single" w:color="auto" w:sz="4" w:space="0"/>
            </w:tcBorders>
            <w:vAlign w:val="center"/>
          </w:tcPr>
          <w:p>
            <w:pPr>
              <w:jc w:val="center"/>
              <w:rPr>
                <w:rFonts w:ascii="宋体" w:hAnsi="Times New Roman" w:eastAsia="宋体" w:cs="宋体"/>
                <w:b w:val="0"/>
                <w:bCs w:val="0"/>
                <w:color w:val="000000"/>
                <w:kern w:val="0"/>
                <w:sz w:val="18"/>
                <w:szCs w:val="18"/>
                <w:highlight w:val="none"/>
                <w:lang w:val="en-US" w:eastAsia="zh-CN" w:bidi="ar-SA"/>
              </w:rPr>
            </w:pPr>
          </w:p>
        </w:tc>
        <w:tc>
          <w:tcPr>
            <w:tcW w:w="235" w:type="pct"/>
            <w:tcBorders>
              <w:top w:val="nil"/>
              <w:left w:val="nil"/>
              <w:bottom w:val="single" w:color="auto" w:sz="4" w:space="0"/>
              <w:right w:val="single" w:color="auto" w:sz="4" w:space="0"/>
            </w:tcBorders>
            <w:vAlign w:val="center"/>
          </w:tcPr>
          <w:p>
            <w:pPr>
              <w:jc w:val="center"/>
              <w:rPr>
                <w:rFonts w:ascii="宋体" w:hAnsi="Times New Roman" w:eastAsia="宋体" w:cs="宋体"/>
                <w:b w:val="0"/>
                <w:bCs w:val="0"/>
                <w:color w:val="000000"/>
                <w:kern w:val="0"/>
                <w:sz w:val="18"/>
                <w:szCs w:val="18"/>
                <w:highlight w:val="none"/>
                <w:lang w:val="en-US" w:eastAsia="zh-CN" w:bidi="ar-SA"/>
              </w:rPr>
            </w:pPr>
          </w:p>
        </w:tc>
        <w:tc>
          <w:tcPr>
            <w:tcW w:w="557"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教育支出</w:t>
            </w:r>
          </w:p>
        </w:tc>
        <w:tc>
          <w:tcPr>
            <w:tcW w:w="523" w:type="pct"/>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5.20</w:t>
            </w:r>
          </w:p>
        </w:tc>
        <w:tc>
          <w:tcPr>
            <w:tcW w:w="465" w:type="pct"/>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5.20</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p>
        </w:tc>
        <w:tc>
          <w:tcPr>
            <w:tcW w:w="33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p>
        </w:tc>
        <w:tc>
          <w:tcPr>
            <w:tcW w:w="229" w:type="pct"/>
            <w:tcBorders>
              <w:top w:val="nil"/>
              <w:left w:val="nil"/>
              <w:bottom w:val="single" w:color="auto" w:sz="4" w:space="0"/>
              <w:right w:val="single" w:color="auto" w:sz="4" w:space="0"/>
            </w:tcBorders>
            <w:vAlign w:val="center"/>
          </w:tcPr>
          <w:p>
            <w:pPr>
              <w:jc w:val="right"/>
              <w:rPr>
                <w:rFonts w:hint="eastAsia" w:ascii="仿宋_GB2312" w:hAnsi="Times New Roman" w:eastAsia="仿宋_GB2312" w:cs="Times New Roman"/>
                <w:color w:val="000000"/>
                <w:kern w:val="2"/>
                <w:sz w:val="18"/>
                <w:szCs w:val="18"/>
                <w:highlight w:val="none"/>
                <w:lang w:val="en-US" w:eastAsia="zh-CN" w:bidi="ar-SA"/>
              </w:rPr>
            </w:pP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p>
        </w:tc>
        <w:tc>
          <w:tcPr>
            <w:tcW w:w="407" w:type="pct"/>
            <w:tcBorders>
              <w:top w:val="single" w:color="auto" w:sz="4" w:space="0"/>
              <w:left w:val="nil"/>
              <w:bottom w:val="single" w:color="auto" w:sz="4" w:space="0"/>
              <w:right w:val="single" w:color="auto" w:sz="4" w:space="0"/>
            </w:tcBorders>
            <w:vAlign w:val="top"/>
          </w:tcPr>
          <w:p>
            <w:pPr>
              <w:jc w:val="right"/>
              <w:rPr>
                <w:rFonts w:hint="default" w:ascii="仿宋_GB2312" w:hAnsi="Times New Roman" w:eastAsia="仿宋_GB2312" w:cs="Times New Roman"/>
                <w:color w:val="000000"/>
                <w:kern w:val="2"/>
                <w:sz w:val="18"/>
                <w:szCs w:val="18"/>
                <w:highlight w:val="none"/>
                <w:lang w:val="en-US" w:eastAsia="zh-CN" w:bidi="ar-SA"/>
              </w:rPr>
            </w:pPr>
          </w:p>
        </w:tc>
        <w:tc>
          <w:tcPr>
            <w:tcW w:w="229"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r>
              <w:rPr>
                <w:rFonts w:hint="eastAsia" w:ascii="仿宋_GB2312" w:eastAsia="仿宋_GB2312"/>
                <w:color w:val="000000"/>
                <w:sz w:val="18"/>
                <w:szCs w:val="18"/>
                <w:highlight w:val="none"/>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r>
              <w:rPr>
                <w:rFonts w:hint="eastAsia" w:ascii="仿宋_GB2312" w:eastAsia="仿宋_GB2312"/>
                <w:color w:val="000000"/>
                <w:sz w:val="18"/>
                <w:szCs w:val="18"/>
                <w:highlight w:val="none"/>
              </w:rPr>
              <w:t>　</w:t>
            </w:r>
          </w:p>
        </w:tc>
        <w:tc>
          <w:tcPr>
            <w:tcW w:w="229" w:type="pct"/>
            <w:tcBorders>
              <w:top w:val="single" w:color="auto" w:sz="4" w:space="0"/>
              <w:left w:val="nil"/>
              <w:bottom w:val="single" w:color="auto" w:sz="4" w:space="0"/>
              <w:right w:val="single" w:color="auto" w:sz="4" w:space="0"/>
            </w:tcBorders>
            <w:vAlign w:val="center"/>
          </w:tcPr>
          <w:p>
            <w:pPr>
              <w:jc w:val="right"/>
              <w:rPr>
                <w:rFonts w:ascii="仿宋_GB2312" w:eastAsia="仿宋_GB2312"/>
                <w:color w:val="000000"/>
                <w:sz w:val="16"/>
                <w:szCs w:val="16"/>
              </w:rPr>
            </w:pPr>
          </w:p>
        </w:tc>
        <w:tc>
          <w:tcPr>
            <w:tcW w:w="229" w:type="pct"/>
            <w:tcBorders>
              <w:top w:val="single" w:color="auto" w:sz="4" w:space="0"/>
              <w:left w:val="nil"/>
              <w:bottom w:val="single" w:color="auto" w:sz="4" w:space="0"/>
              <w:right w:val="single" w:color="auto" w:sz="4" w:space="0"/>
            </w:tcBorders>
            <w:vAlign w:val="center"/>
          </w:tcPr>
          <w:p>
            <w:pPr>
              <w:jc w:val="right"/>
              <w:rPr>
                <w:rFonts w:ascii="仿宋_GB2312" w:eastAsia="仿宋_GB2312"/>
                <w:color w:val="000000"/>
                <w:sz w:val="16"/>
                <w:szCs w:val="16"/>
              </w:rPr>
            </w:pPr>
          </w:p>
        </w:tc>
        <w:tc>
          <w:tcPr>
            <w:tcW w:w="339" w:type="pct"/>
            <w:tcBorders>
              <w:top w:val="single" w:color="auto" w:sz="4" w:space="0"/>
              <w:left w:val="nil"/>
              <w:bottom w:val="single" w:color="auto" w:sz="4" w:space="0"/>
              <w:right w:val="single" w:color="auto" w:sz="4" w:space="0"/>
            </w:tcBorders>
            <w:vAlign w:val="center"/>
          </w:tcPr>
          <w:p>
            <w:pPr>
              <w:jc w:val="right"/>
              <w:rPr>
                <w:rFonts w:ascii="仿宋_GB2312" w:eastAsia="仿宋_GB2312"/>
                <w:color w:val="000000"/>
                <w:sz w:val="16"/>
                <w:szCs w:val="16"/>
              </w:rPr>
            </w:pPr>
          </w:p>
        </w:tc>
      </w:tr>
      <w:tr>
        <w:tblPrEx>
          <w:tblCellMar>
            <w:top w:w="0" w:type="dxa"/>
            <w:left w:w="108" w:type="dxa"/>
            <w:bottom w:w="0" w:type="dxa"/>
            <w:right w:w="108" w:type="dxa"/>
          </w:tblCellMar>
        </w:tblPrEx>
        <w:trPr>
          <w:trHeight w:val="90" w:hRule="atLeast"/>
        </w:trPr>
        <w:tc>
          <w:tcPr>
            <w:tcW w:w="29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205</w:t>
            </w:r>
          </w:p>
        </w:tc>
        <w:tc>
          <w:tcPr>
            <w:tcW w:w="23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02</w:t>
            </w:r>
          </w:p>
        </w:tc>
        <w:tc>
          <w:tcPr>
            <w:tcW w:w="235" w:type="pct"/>
            <w:tcBorders>
              <w:top w:val="nil"/>
              <w:left w:val="nil"/>
              <w:bottom w:val="single" w:color="auto" w:sz="4" w:space="0"/>
              <w:right w:val="single" w:color="auto" w:sz="4" w:space="0"/>
            </w:tcBorders>
            <w:vAlign w:val="center"/>
          </w:tcPr>
          <w:p>
            <w:pPr>
              <w:jc w:val="center"/>
              <w:rPr>
                <w:rFonts w:ascii="宋体" w:hAnsi="Times New Roman" w:eastAsia="宋体" w:cs="宋体"/>
                <w:b w:val="0"/>
                <w:bCs w:val="0"/>
                <w:color w:val="000000"/>
                <w:kern w:val="0"/>
                <w:sz w:val="18"/>
                <w:szCs w:val="18"/>
                <w:highlight w:val="none"/>
                <w:lang w:val="en-US" w:eastAsia="zh-CN" w:bidi="ar-SA"/>
              </w:rPr>
            </w:pPr>
          </w:p>
        </w:tc>
        <w:tc>
          <w:tcPr>
            <w:tcW w:w="557"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普通教育</w:t>
            </w:r>
          </w:p>
        </w:tc>
        <w:tc>
          <w:tcPr>
            <w:tcW w:w="523" w:type="pct"/>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5.20</w:t>
            </w:r>
          </w:p>
        </w:tc>
        <w:tc>
          <w:tcPr>
            <w:tcW w:w="465" w:type="pct"/>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5.20</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p>
        </w:tc>
        <w:tc>
          <w:tcPr>
            <w:tcW w:w="33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highlight w:val="none"/>
              </w:rPr>
            </w:pP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p>
        </w:tc>
        <w:tc>
          <w:tcPr>
            <w:tcW w:w="407" w:type="pct"/>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highlight w:val="none"/>
              </w:rPr>
            </w:pPr>
          </w:p>
        </w:tc>
        <w:tc>
          <w:tcPr>
            <w:tcW w:w="229"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eastAsia="仿宋_GB2312"/>
                <w:color w:val="000000"/>
                <w:sz w:val="18"/>
                <w:szCs w:val="18"/>
                <w:highlight w:val="none"/>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eastAsia="仿宋_GB2312"/>
                <w:color w:val="000000"/>
                <w:sz w:val="18"/>
                <w:szCs w:val="18"/>
                <w:highlight w:val="none"/>
              </w:rPr>
              <w:t>　</w:t>
            </w: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16"/>
                <w:szCs w:val="16"/>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16"/>
                <w:szCs w:val="16"/>
              </w:rPr>
            </w:pPr>
          </w:p>
        </w:tc>
        <w:tc>
          <w:tcPr>
            <w:tcW w:w="33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17" w:hRule="atLeast"/>
        </w:trPr>
        <w:tc>
          <w:tcPr>
            <w:tcW w:w="29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205</w:t>
            </w:r>
          </w:p>
        </w:tc>
        <w:tc>
          <w:tcPr>
            <w:tcW w:w="23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02</w:t>
            </w:r>
          </w:p>
        </w:tc>
        <w:tc>
          <w:tcPr>
            <w:tcW w:w="235"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01</w:t>
            </w:r>
          </w:p>
        </w:tc>
        <w:tc>
          <w:tcPr>
            <w:tcW w:w="557"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学前教育</w:t>
            </w:r>
          </w:p>
        </w:tc>
        <w:tc>
          <w:tcPr>
            <w:tcW w:w="523" w:type="pct"/>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5.20</w:t>
            </w:r>
          </w:p>
        </w:tc>
        <w:tc>
          <w:tcPr>
            <w:tcW w:w="465" w:type="pct"/>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5.20</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p>
        </w:tc>
        <w:tc>
          <w:tcPr>
            <w:tcW w:w="33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p>
        </w:tc>
        <w:tc>
          <w:tcPr>
            <w:tcW w:w="229" w:type="pct"/>
            <w:tcBorders>
              <w:top w:val="nil"/>
              <w:left w:val="nil"/>
              <w:bottom w:val="single" w:color="auto" w:sz="4" w:space="0"/>
              <w:right w:val="single" w:color="auto" w:sz="4" w:space="0"/>
            </w:tcBorders>
            <w:vAlign w:val="center"/>
          </w:tcPr>
          <w:p>
            <w:pPr>
              <w:jc w:val="right"/>
              <w:rPr>
                <w:rFonts w:hint="eastAsia" w:ascii="仿宋_GB2312" w:hAnsi="Times New Roman" w:eastAsia="仿宋_GB2312" w:cs="Times New Roman"/>
                <w:color w:val="000000"/>
                <w:kern w:val="2"/>
                <w:sz w:val="18"/>
                <w:szCs w:val="18"/>
                <w:highlight w:val="none"/>
                <w:lang w:val="en-US" w:eastAsia="zh-CN" w:bidi="ar-SA"/>
              </w:rPr>
            </w:pP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p>
        </w:tc>
        <w:tc>
          <w:tcPr>
            <w:tcW w:w="407" w:type="pct"/>
            <w:tcBorders>
              <w:top w:val="single" w:color="auto" w:sz="4" w:space="0"/>
              <w:left w:val="nil"/>
              <w:bottom w:val="single" w:color="auto" w:sz="4" w:space="0"/>
              <w:right w:val="single" w:color="auto" w:sz="4" w:space="0"/>
            </w:tcBorders>
            <w:vAlign w:val="top"/>
          </w:tcPr>
          <w:p>
            <w:pPr>
              <w:jc w:val="right"/>
              <w:rPr>
                <w:rFonts w:hint="default" w:ascii="仿宋_GB2312" w:hAnsi="Times New Roman" w:eastAsia="仿宋_GB2312" w:cs="Times New Roman"/>
                <w:color w:val="000000"/>
                <w:kern w:val="2"/>
                <w:sz w:val="18"/>
                <w:szCs w:val="18"/>
                <w:highlight w:val="none"/>
                <w:lang w:val="en-US" w:eastAsia="zh-CN" w:bidi="ar-SA"/>
              </w:rPr>
            </w:pPr>
          </w:p>
        </w:tc>
        <w:tc>
          <w:tcPr>
            <w:tcW w:w="229"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r>
              <w:rPr>
                <w:rFonts w:hint="eastAsia" w:ascii="仿宋_GB2312" w:eastAsia="仿宋_GB2312"/>
                <w:color w:val="000000"/>
                <w:sz w:val="18"/>
                <w:szCs w:val="18"/>
                <w:highlight w:val="none"/>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16"/>
                <w:szCs w:val="16"/>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16"/>
                <w:szCs w:val="16"/>
              </w:rPr>
            </w:pPr>
          </w:p>
        </w:tc>
        <w:tc>
          <w:tcPr>
            <w:tcW w:w="33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47" w:hRule="atLeast"/>
        </w:trPr>
        <w:tc>
          <w:tcPr>
            <w:tcW w:w="29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b w:val="0"/>
                <w:bCs w:val="0"/>
                <w:i w:val="0"/>
                <w:color w:val="000000"/>
                <w:kern w:val="0"/>
                <w:sz w:val="18"/>
                <w:szCs w:val="18"/>
                <w:highlight w:val="none"/>
                <w:u w:val="none"/>
                <w:lang w:val="en-US" w:eastAsia="zh-CN" w:bidi="ar"/>
              </w:rPr>
              <w:t>211</w:t>
            </w:r>
          </w:p>
        </w:tc>
        <w:tc>
          <w:tcPr>
            <w:tcW w:w="23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p>
        </w:tc>
        <w:tc>
          <w:tcPr>
            <w:tcW w:w="235" w:type="pct"/>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highlight w:val="none"/>
                <w:lang w:val="en-US" w:eastAsia="zh-CN" w:bidi="ar-SA"/>
              </w:rPr>
            </w:pPr>
          </w:p>
        </w:tc>
        <w:tc>
          <w:tcPr>
            <w:tcW w:w="557" w:type="pct"/>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cs="宋体"/>
                <w:b w:val="0"/>
                <w:bCs w:val="0"/>
                <w:color w:val="000000"/>
                <w:kern w:val="0"/>
                <w:sz w:val="18"/>
                <w:szCs w:val="18"/>
                <w:highlight w:val="none"/>
              </w:rPr>
              <w:t>节能环保支出</w:t>
            </w:r>
          </w:p>
        </w:tc>
        <w:tc>
          <w:tcPr>
            <w:tcW w:w="523" w:type="pct"/>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597.01</w:t>
            </w:r>
          </w:p>
        </w:tc>
        <w:tc>
          <w:tcPr>
            <w:tcW w:w="465" w:type="pct"/>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580.01</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p>
        </w:tc>
        <w:tc>
          <w:tcPr>
            <w:tcW w:w="33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p>
        </w:tc>
        <w:tc>
          <w:tcPr>
            <w:tcW w:w="229" w:type="pct"/>
            <w:tcBorders>
              <w:top w:val="nil"/>
              <w:left w:val="nil"/>
              <w:bottom w:val="single" w:color="auto" w:sz="4" w:space="0"/>
              <w:right w:val="single" w:color="auto" w:sz="4" w:space="0"/>
            </w:tcBorders>
            <w:vAlign w:val="center"/>
          </w:tcPr>
          <w:p>
            <w:pPr>
              <w:jc w:val="right"/>
              <w:rPr>
                <w:rFonts w:hint="eastAsia" w:ascii="仿宋_GB2312" w:hAnsi="Times New Roman" w:eastAsia="仿宋_GB2312" w:cs="Times New Roman"/>
                <w:color w:val="000000"/>
                <w:kern w:val="2"/>
                <w:sz w:val="18"/>
                <w:szCs w:val="18"/>
                <w:highlight w:val="none"/>
                <w:lang w:val="en-US" w:eastAsia="zh-CN" w:bidi="ar-SA"/>
              </w:rPr>
            </w:pP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p>
        </w:tc>
        <w:tc>
          <w:tcPr>
            <w:tcW w:w="407" w:type="pct"/>
            <w:tcBorders>
              <w:top w:val="single" w:color="auto" w:sz="4" w:space="0"/>
              <w:left w:val="nil"/>
              <w:bottom w:val="single" w:color="auto" w:sz="4" w:space="0"/>
              <w:right w:val="single" w:color="auto" w:sz="4" w:space="0"/>
            </w:tcBorders>
            <w:vAlign w:val="top"/>
          </w:tcPr>
          <w:p>
            <w:pPr>
              <w:jc w:val="right"/>
              <w:rPr>
                <w:rFonts w:hint="eastAsia" w:ascii="仿宋_GB2312" w:eastAsia="仿宋_GB2312" w:cs="Times New Roman"/>
                <w:color w:val="000000"/>
                <w:kern w:val="2"/>
                <w:sz w:val="18"/>
                <w:szCs w:val="18"/>
                <w:highlight w:val="none"/>
                <w:lang w:val="en-US" w:eastAsia="zh-CN" w:bidi="ar-SA"/>
              </w:rPr>
            </w:pPr>
          </w:p>
          <w:p>
            <w:pPr>
              <w:jc w:val="right"/>
              <w:rPr>
                <w:rFonts w:hint="default" w:ascii="仿宋_GB2312" w:hAnsi="Times New Roman" w:eastAsia="仿宋_GB2312" w:cs="Times New Roman"/>
                <w:color w:val="000000"/>
                <w:kern w:val="2"/>
                <w:sz w:val="18"/>
                <w:szCs w:val="18"/>
                <w:highlight w:val="none"/>
                <w:lang w:val="en-US" w:eastAsia="zh-CN" w:bidi="ar-SA"/>
              </w:rPr>
            </w:pPr>
            <w:r>
              <w:rPr>
                <w:rFonts w:hint="eastAsia" w:ascii="仿宋_GB2312" w:eastAsia="仿宋_GB2312" w:cs="Times New Roman"/>
                <w:color w:val="000000"/>
                <w:kern w:val="2"/>
                <w:sz w:val="18"/>
                <w:szCs w:val="18"/>
                <w:highlight w:val="none"/>
                <w:lang w:val="en-US" w:eastAsia="zh-CN" w:bidi="ar-SA"/>
              </w:rPr>
              <w:t>17.00</w:t>
            </w:r>
          </w:p>
        </w:tc>
        <w:tc>
          <w:tcPr>
            <w:tcW w:w="229"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r>
              <w:rPr>
                <w:rFonts w:hint="eastAsia" w:ascii="仿宋_GB2312" w:eastAsia="仿宋_GB2312"/>
                <w:color w:val="000000"/>
                <w:sz w:val="18"/>
                <w:szCs w:val="18"/>
                <w:highlight w:val="none"/>
              </w:rPr>
              <w:t>　</w:t>
            </w:r>
          </w:p>
        </w:tc>
        <w:tc>
          <w:tcPr>
            <w:tcW w:w="229" w:type="pct"/>
            <w:tcBorders>
              <w:top w:val="nil"/>
              <w:left w:val="nil"/>
              <w:bottom w:val="single" w:color="auto" w:sz="4" w:space="0"/>
              <w:right w:val="single" w:color="auto" w:sz="4" w:space="0"/>
            </w:tcBorders>
            <w:vAlign w:val="center"/>
          </w:tcPr>
          <w:p>
            <w:pPr>
              <w:jc w:val="right"/>
              <w:rPr>
                <w:rFonts w:ascii="仿宋_GB2312" w:hAnsi="Times New Roman" w:eastAsia="仿宋_GB2312" w:cs="Times New Roman"/>
                <w:color w:val="000000"/>
                <w:kern w:val="2"/>
                <w:sz w:val="16"/>
                <w:szCs w:val="16"/>
                <w:lang w:val="en-US" w:eastAsia="zh-CN" w:bidi="ar-SA"/>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33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47" w:hRule="atLeast"/>
        </w:trPr>
        <w:tc>
          <w:tcPr>
            <w:tcW w:w="29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lang w:val="en-US" w:eastAsia="zh-CN" w:bidi="ar-SA"/>
              </w:rPr>
            </w:pPr>
            <w:r>
              <w:rPr>
                <w:rFonts w:hint="eastAsia" w:ascii="宋体" w:hAnsi="宋体" w:eastAsia="宋体" w:cs="宋体"/>
                <w:b w:val="0"/>
                <w:bCs w:val="0"/>
                <w:i w:val="0"/>
                <w:color w:val="000000"/>
                <w:kern w:val="0"/>
                <w:sz w:val="18"/>
                <w:szCs w:val="18"/>
                <w:u w:val="none"/>
                <w:lang w:val="en-US" w:eastAsia="zh-CN" w:bidi="ar"/>
              </w:rPr>
              <w:t>211</w:t>
            </w:r>
          </w:p>
        </w:tc>
        <w:tc>
          <w:tcPr>
            <w:tcW w:w="23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Times New Roman" w:eastAsia="宋体" w:cs="宋体"/>
                <w:b w:val="0"/>
                <w:bCs w:val="0"/>
                <w:color w:val="000000"/>
                <w:kern w:val="0"/>
                <w:sz w:val="18"/>
                <w:szCs w:val="18"/>
                <w:lang w:val="en-US" w:eastAsia="zh-CN" w:bidi="ar-SA"/>
              </w:rPr>
            </w:pPr>
            <w:r>
              <w:rPr>
                <w:rFonts w:hint="eastAsia" w:ascii="宋体" w:cs="宋体"/>
                <w:b w:val="0"/>
                <w:bCs w:val="0"/>
                <w:color w:val="000000"/>
                <w:kern w:val="0"/>
                <w:sz w:val="18"/>
                <w:szCs w:val="18"/>
                <w:lang w:val="en-US" w:eastAsia="zh-CN" w:bidi="ar-SA"/>
              </w:rPr>
              <w:t>01</w:t>
            </w:r>
          </w:p>
        </w:tc>
        <w:tc>
          <w:tcPr>
            <w:tcW w:w="235" w:type="pct"/>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lang w:val="en-US" w:eastAsia="zh-CN" w:bidi="ar-SA"/>
              </w:rPr>
            </w:pPr>
          </w:p>
        </w:tc>
        <w:tc>
          <w:tcPr>
            <w:tcW w:w="557" w:type="pct"/>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lang w:val="en-US" w:eastAsia="zh-CN" w:bidi="ar-SA"/>
              </w:rPr>
            </w:pPr>
            <w:r>
              <w:rPr>
                <w:rFonts w:hint="eastAsia" w:ascii="宋体" w:hAnsi="Times New Roman" w:eastAsia="宋体" w:cs="宋体"/>
                <w:b w:val="0"/>
                <w:bCs w:val="0"/>
                <w:color w:val="000000"/>
                <w:kern w:val="0"/>
                <w:sz w:val="18"/>
                <w:szCs w:val="18"/>
                <w:lang w:val="en-US" w:eastAsia="zh-CN" w:bidi="ar-SA"/>
              </w:rPr>
              <w:t>环境保护管理事务</w:t>
            </w:r>
          </w:p>
        </w:tc>
        <w:tc>
          <w:tcPr>
            <w:tcW w:w="523"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lang w:val="en-US" w:eastAsia="zh-CN"/>
              </w:rPr>
              <w:t>597..01</w:t>
            </w:r>
            <w:r>
              <w:rPr>
                <w:rFonts w:hint="eastAsia" w:ascii="仿宋_GB2312" w:eastAsia="仿宋_GB2312"/>
                <w:color w:val="000000"/>
                <w:sz w:val="18"/>
                <w:szCs w:val="18"/>
              </w:rPr>
              <w:t>　</w:t>
            </w:r>
          </w:p>
        </w:tc>
        <w:tc>
          <w:tcPr>
            <w:tcW w:w="465"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lang w:val="en-US" w:eastAsia="zh-CN"/>
              </w:rPr>
              <w:t>580.01</w:t>
            </w: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33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407" w:type="pct"/>
            <w:tcBorders>
              <w:top w:val="single" w:color="auto" w:sz="4" w:space="0"/>
              <w:left w:val="nil"/>
              <w:bottom w:val="single" w:color="auto" w:sz="4" w:space="0"/>
              <w:right w:val="single" w:color="auto" w:sz="4" w:space="0"/>
            </w:tcBorders>
          </w:tcPr>
          <w:p>
            <w:pPr>
              <w:jc w:val="center"/>
              <w:rPr>
                <w:rFonts w:hint="eastAsia" w:ascii="仿宋_GB2312" w:eastAsia="仿宋_GB2312"/>
                <w:color w:val="000000"/>
                <w:sz w:val="18"/>
                <w:szCs w:val="18"/>
                <w:lang w:val="en-US" w:eastAsia="zh-CN"/>
              </w:rPr>
            </w:pPr>
          </w:p>
          <w:p>
            <w:pPr>
              <w:jc w:val="center"/>
              <w:rPr>
                <w:rFonts w:hint="default" w:ascii="仿宋_GB2312" w:eastAsia="仿宋_GB2312"/>
                <w:color w:val="000000"/>
                <w:sz w:val="18"/>
                <w:szCs w:val="18"/>
                <w:lang w:val="en-US" w:eastAsia="zh-CN"/>
              </w:rPr>
            </w:pPr>
            <w:r>
              <w:rPr>
                <w:rFonts w:hint="eastAsia" w:ascii="仿宋_GB2312" w:eastAsia="仿宋_GB2312"/>
                <w:color w:val="000000"/>
                <w:sz w:val="18"/>
                <w:szCs w:val="18"/>
                <w:lang w:val="en-US" w:eastAsia="zh-CN"/>
              </w:rPr>
              <w:t>17.00</w:t>
            </w:r>
          </w:p>
        </w:tc>
        <w:tc>
          <w:tcPr>
            <w:tcW w:w="229"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33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47" w:hRule="atLeast"/>
        </w:trPr>
        <w:tc>
          <w:tcPr>
            <w:tcW w:w="29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lang w:val="en-US" w:eastAsia="zh-CN" w:bidi="ar-SA"/>
              </w:rPr>
            </w:pPr>
            <w:r>
              <w:rPr>
                <w:rFonts w:hint="eastAsia" w:ascii="宋体" w:hAnsi="宋体" w:eastAsia="宋体" w:cs="宋体"/>
                <w:b w:val="0"/>
                <w:bCs w:val="0"/>
                <w:i w:val="0"/>
                <w:color w:val="000000"/>
                <w:kern w:val="0"/>
                <w:sz w:val="18"/>
                <w:szCs w:val="18"/>
                <w:u w:val="none"/>
                <w:lang w:val="en-US" w:eastAsia="zh-CN" w:bidi="ar"/>
              </w:rPr>
              <w:t>211</w:t>
            </w:r>
          </w:p>
        </w:tc>
        <w:tc>
          <w:tcPr>
            <w:tcW w:w="23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Times New Roman" w:eastAsia="宋体" w:cs="宋体"/>
                <w:b w:val="0"/>
                <w:bCs w:val="0"/>
                <w:color w:val="000000"/>
                <w:kern w:val="0"/>
                <w:sz w:val="18"/>
                <w:szCs w:val="18"/>
                <w:lang w:val="en-US" w:eastAsia="zh-CN" w:bidi="ar-SA"/>
              </w:rPr>
            </w:pPr>
            <w:r>
              <w:rPr>
                <w:rFonts w:hint="eastAsia" w:ascii="宋体" w:cs="宋体"/>
                <w:b w:val="0"/>
                <w:bCs w:val="0"/>
                <w:color w:val="000000"/>
                <w:kern w:val="0"/>
                <w:sz w:val="18"/>
                <w:szCs w:val="18"/>
                <w:lang w:val="en-US" w:eastAsia="zh-CN"/>
              </w:rPr>
              <w:t>01</w:t>
            </w:r>
          </w:p>
        </w:tc>
        <w:tc>
          <w:tcPr>
            <w:tcW w:w="235" w:type="pct"/>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lang w:val="en-US" w:eastAsia="zh-CN" w:bidi="ar-SA"/>
              </w:rPr>
            </w:pPr>
            <w:r>
              <w:rPr>
                <w:rFonts w:hint="eastAsia" w:ascii="宋体" w:hAnsi="宋体" w:cs="宋体"/>
                <w:b w:val="0"/>
                <w:bCs w:val="0"/>
                <w:color w:val="000000"/>
                <w:kern w:val="0"/>
                <w:sz w:val="18"/>
                <w:szCs w:val="18"/>
                <w:lang w:val="en-US" w:eastAsia="zh-CN"/>
              </w:rPr>
              <w:t>99</w:t>
            </w:r>
          </w:p>
        </w:tc>
        <w:tc>
          <w:tcPr>
            <w:tcW w:w="557" w:type="pct"/>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lang w:val="en-US" w:eastAsia="zh-CN" w:bidi="ar-SA"/>
              </w:rPr>
            </w:pPr>
            <w:r>
              <w:rPr>
                <w:rFonts w:hint="eastAsia" w:ascii="宋体" w:hAnsi="宋体" w:cs="宋体"/>
                <w:b w:val="0"/>
                <w:bCs w:val="0"/>
                <w:color w:val="000000"/>
                <w:kern w:val="0"/>
                <w:sz w:val="18"/>
                <w:szCs w:val="18"/>
              </w:rPr>
              <w:t>其他环境保护管理事务支出</w:t>
            </w:r>
          </w:p>
        </w:tc>
        <w:tc>
          <w:tcPr>
            <w:tcW w:w="523"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lang w:val="en-US" w:eastAsia="zh-CN"/>
              </w:rPr>
              <w:t>95.00</w:t>
            </w:r>
            <w:r>
              <w:rPr>
                <w:rFonts w:hint="eastAsia" w:ascii="仿宋_GB2312" w:eastAsia="仿宋_GB2312"/>
                <w:color w:val="000000"/>
                <w:sz w:val="18"/>
                <w:szCs w:val="18"/>
              </w:rPr>
              <w:t>　</w:t>
            </w:r>
          </w:p>
        </w:tc>
        <w:tc>
          <w:tcPr>
            <w:tcW w:w="465"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lang w:val="en-US" w:eastAsia="zh-CN"/>
              </w:rPr>
              <w:t>78.00</w:t>
            </w: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33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407" w:type="pct"/>
            <w:tcBorders>
              <w:top w:val="single" w:color="auto" w:sz="4" w:space="0"/>
              <w:left w:val="nil"/>
              <w:bottom w:val="single" w:color="auto" w:sz="4" w:space="0"/>
              <w:right w:val="single" w:color="auto" w:sz="4" w:space="0"/>
            </w:tcBorders>
          </w:tcPr>
          <w:p>
            <w:pPr>
              <w:jc w:val="center"/>
              <w:rPr>
                <w:rFonts w:hint="eastAsia" w:ascii="仿宋_GB2312" w:eastAsia="仿宋_GB2312"/>
                <w:color w:val="000000"/>
                <w:sz w:val="18"/>
                <w:szCs w:val="18"/>
                <w:lang w:val="en-US" w:eastAsia="zh-CN"/>
              </w:rPr>
            </w:pPr>
          </w:p>
          <w:p>
            <w:pPr>
              <w:jc w:val="center"/>
              <w:rPr>
                <w:rFonts w:hint="default" w:ascii="仿宋_GB2312" w:eastAsia="仿宋_GB2312"/>
                <w:color w:val="000000"/>
                <w:sz w:val="18"/>
                <w:szCs w:val="18"/>
                <w:lang w:val="en-US" w:eastAsia="zh-CN"/>
              </w:rPr>
            </w:pPr>
            <w:r>
              <w:rPr>
                <w:rFonts w:hint="eastAsia" w:ascii="仿宋_GB2312" w:eastAsia="仿宋_GB2312"/>
                <w:color w:val="000000"/>
                <w:sz w:val="18"/>
                <w:szCs w:val="18"/>
                <w:lang w:val="en-US" w:eastAsia="zh-CN"/>
              </w:rPr>
              <w:t>17.00</w:t>
            </w:r>
          </w:p>
        </w:tc>
        <w:tc>
          <w:tcPr>
            <w:tcW w:w="229"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33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47" w:hRule="atLeast"/>
        </w:trPr>
        <w:tc>
          <w:tcPr>
            <w:tcW w:w="292" w:type="pc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b w:val="0"/>
                <w:bCs w:val="0"/>
                <w:i w:val="0"/>
                <w:color w:val="000000"/>
                <w:kern w:val="0"/>
                <w:sz w:val="18"/>
                <w:szCs w:val="18"/>
                <w:highlight w:val="none"/>
                <w:u w:val="none"/>
                <w:lang w:val="en-US" w:eastAsia="zh-CN" w:bidi="ar"/>
              </w:rPr>
              <w:t>211</w:t>
            </w:r>
          </w:p>
        </w:tc>
        <w:tc>
          <w:tcPr>
            <w:tcW w:w="23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01</w:t>
            </w:r>
          </w:p>
        </w:tc>
        <w:tc>
          <w:tcPr>
            <w:tcW w:w="235" w:type="pct"/>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01</w:t>
            </w:r>
          </w:p>
        </w:tc>
        <w:tc>
          <w:tcPr>
            <w:tcW w:w="557" w:type="pct"/>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highlight w:val="none"/>
                <w:lang w:val="en-US" w:eastAsia="zh-CN" w:bidi="ar-SA"/>
              </w:rPr>
            </w:pPr>
            <w:r>
              <w:rPr>
                <w:rFonts w:hint="eastAsia" w:ascii="宋体" w:hAnsi="Times New Roman" w:eastAsia="宋体" w:cs="宋体"/>
                <w:b w:val="0"/>
                <w:bCs w:val="0"/>
                <w:color w:val="000000"/>
                <w:kern w:val="0"/>
                <w:sz w:val="18"/>
                <w:szCs w:val="18"/>
                <w:highlight w:val="none"/>
                <w:lang w:val="en-US" w:eastAsia="zh-CN" w:bidi="ar-SA"/>
              </w:rPr>
              <w:t>行政运行（环境保护管理事务）</w:t>
            </w:r>
          </w:p>
        </w:tc>
        <w:tc>
          <w:tcPr>
            <w:tcW w:w="523"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eastAsia="仿宋_GB2312"/>
                <w:color w:val="000000"/>
                <w:sz w:val="18"/>
                <w:szCs w:val="18"/>
                <w:highlight w:val="none"/>
                <w:lang w:val="en-US" w:eastAsia="zh-CN"/>
              </w:rPr>
              <w:t>502.01</w:t>
            </w:r>
            <w:r>
              <w:rPr>
                <w:rFonts w:hint="eastAsia" w:ascii="仿宋_GB2312" w:eastAsia="仿宋_GB2312"/>
                <w:color w:val="000000"/>
                <w:sz w:val="18"/>
                <w:szCs w:val="18"/>
                <w:highlight w:val="none"/>
              </w:rPr>
              <w:t>　</w:t>
            </w:r>
          </w:p>
        </w:tc>
        <w:tc>
          <w:tcPr>
            <w:tcW w:w="465"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eastAsia="仿宋_GB2312"/>
                <w:color w:val="000000"/>
                <w:sz w:val="18"/>
                <w:szCs w:val="18"/>
                <w:highlight w:val="none"/>
                <w:lang w:val="en-US" w:eastAsia="zh-CN"/>
              </w:rPr>
              <w:t>502.01</w:t>
            </w:r>
            <w:r>
              <w:rPr>
                <w:rFonts w:hint="eastAsia" w:ascii="仿宋_GB2312" w:eastAsia="仿宋_GB2312"/>
                <w:color w:val="000000"/>
                <w:sz w:val="18"/>
                <w:szCs w:val="18"/>
                <w:highlight w:val="none"/>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eastAsia="仿宋_GB2312"/>
                <w:color w:val="000000"/>
                <w:sz w:val="18"/>
                <w:szCs w:val="18"/>
                <w:highlight w:val="none"/>
              </w:rPr>
              <w:t>　</w:t>
            </w:r>
          </w:p>
        </w:tc>
        <w:tc>
          <w:tcPr>
            <w:tcW w:w="33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eastAsia="仿宋_GB2312"/>
                <w:color w:val="000000"/>
                <w:sz w:val="18"/>
                <w:szCs w:val="18"/>
                <w:highlight w:val="none"/>
              </w:rPr>
              <w:t>　</w:t>
            </w: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highlight w:val="none"/>
              </w:rPr>
            </w:pP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eastAsia="仿宋_GB2312"/>
                <w:color w:val="000000"/>
                <w:sz w:val="18"/>
                <w:szCs w:val="18"/>
                <w:highlight w:val="none"/>
              </w:rPr>
              <w:t>　</w:t>
            </w:r>
          </w:p>
        </w:tc>
        <w:tc>
          <w:tcPr>
            <w:tcW w:w="407" w:type="pct"/>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highlight w:val="none"/>
              </w:rPr>
            </w:pPr>
          </w:p>
        </w:tc>
        <w:tc>
          <w:tcPr>
            <w:tcW w:w="229"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eastAsia="仿宋_GB2312"/>
                <w:color w:val="000000"/>
                <w:sz w:val="18"/>
                <w:szCs w:val="18"/>
                <w:highlight w:val="none"/>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eastAsia="仿宋_GB2312"/>
                <w:color w:val="000000"/>
                <w:sz w:val="18"/>
                <w:szCs w:val="18"/>
                <w:highlight w:val="none"/>
              </w:rPr>
              <w:t>　</w:t>
            </w: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33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47" w:hRule="atLeast"/>
        </w:trPr>
        <w:tc>
          <w:tcPr>
            <w:tcW w:w="292" w:type="pct"/>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31"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35"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557" w:type="pct"/>
            <w:tcBorders>
              <w:top w:val="nil"/>
              <w:left w:val="nil"/>
              <w:bottom w:val="single" w:color="auto" w:sz="4" w:space="0"/>
              <w:right w:val="single" w:color="auto" w:sz="4" w:space="0"/>
            </w:tcBorders>
            <w:vAlign w:val="center"/>
          </w:tcPr>
          <w:p>
            <w:pPr>
              <w:rPr>
                <w:rFonts w:hint="eastAsia" w:ascii="仿宋_GB2312" w:eastAsia="仿宋_GB2312"/>
                <w:color w:val="000000"/>
                <w:sz w:val="18"/>
                <w:szCs w:val="18"/>
              </w:rPr>
            </w:pPr>
          </w:p>
        </w:tc>
        <w:tc>
          <w:tcPr>
            <w:tcW w:w="523"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465"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33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407" w:type="pct"/>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229" w:type="pct"/>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33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47" w:hRule="atLeast"/>
        </w:trPr>
        <w:tc>
          <w:tcPr>
            <w:tcW w:w="292" w:type="pct"/>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31"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35"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557" w:type="pct"/>
            <w:tcBorders>
              <w:top w:val="nil"/>
              <w:left w:val="nil"/>
              <w:bottom w:val="single" w:color="auto" w:sz="4" w:space="0"/>
              <w:right w:val="single" w:color="auto" w:sz="4" w:space="0"/>
            </w:tcBorders>
            <w:vAlign w:val="center"/>
          </w:tcPr>
          <w:p>
            <w:pPr>
              <w:rPr>
                <w:rFonts w:hint="eastAsia" w:ascii="仿宋_GB2312" w:eastAsia="仿宋_GB2312"/>
                <w:color w:val="000000"/>
                <w:sz w:val="18"/>
                <w:szCs w:val="18"/>
              </w:rPr>
            </w:pPr>
          </w:p>
        </w:tc>
        <w:tc>
          <w:tcPr>
            <w:tcW w:w="523"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465"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33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407" w:type="pct"/>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229" w:type="pct"/>
            <w:tcBorders>
              <w:top w:val="nil"/>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33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47" w:hRule="atLeast"/>
        </w:trPr>
        <w:tc>
          <w:tcPr>
            <w:tcW w:w="292"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31"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35"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pct"/>
            <w:tcBorders>
              <w:top w:val="nil"/>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23"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465"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33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407" w:type="pct"/>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229"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33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47" w:hRule="atLeast"/>
        </w:trPr>
        <w:tc>
          <w:tcPr>
            <w:tcW w:w="292"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31"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35"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pct"/>
            <w:tcBorders>
              <w:top w:val="nil"/>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23"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465"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33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407" w:type="pct"/>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229"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33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47" w:hRule="atLeast"/>
        </w:trPr>
        <w:tc>
          <w:tcPr>
            <w:tcW w:w="292"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31"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35"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pct"/>
            <w:tcBorders>
              <w:top w:val="nil"/>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23"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465"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33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407" w:type="pct"/>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229"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33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592" w:hRule="atLeast"/>
        </w:trPr>
        <w:tc>
          <w:tcPr>
            <w:tcW w:w="292"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31"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35"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pct"/>
            <w:tcBorders>
              <w:top w:val="nil"/>
              <w:left w:val="nil"/>
              <w:bottom w:val="single" w:color="auto" w:sz="4" w:space="0"/>
              <w:right w:val="single" w:color="auto" w:sz="4" w:space="0"/>
            </w:tcBorders>
            <w:vAlign w:val="center"/>
          </w:tcPr>
          <w:p>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rPr>
              <w:t>　</w:t>
            </w:r>
          </w:p>
        </w:tc>
        <w:tc>
          <w:tcPr>
            <w:tcW w:w="523"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465"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33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407" w:type="pct"/>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229"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33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659" w:hRule="atLeast"/>
        </w:trPr>
        <w:tc>
          <w:tcPr>
            <w:tcW w:w="292"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31"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35"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pct"/>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w:t>
            </w:r>
            <w:r>
              <w:rPr>
                <w:rFonts w:ascii="仿宋_GB2312" w:eastAsia="仿宋_GB2312"/>
                <w:b/>
                <w:bCs/>
                <w:color w:val="000000"/>
                <w:sz w:val="18"/>
                <w:szCs w:val="18"/>
              </w:rPr>
              <w:t xml:space="preserve">  </w:t>
            </w:r>
            <w:r>
              <w:rPr>
                <w:rFonts w:hint="eastAsia" w:ascii="仿宋_GB2312" w:eastAsia="仿宋_GB2312"/>
                <w:b/>
                <w:bCs/>
                <w:color w:val="000000"/>
                <w:sz w:val="18"/>
                <w:szCs w:val="18"/>
              </w:rPr>
              <w:t>计</w:t>
            </w:r>
            <w:r>
              <w:rPr>
                <w:rFonts w:hint="eastAsia" w:ascii="仿宋_GB2312" w:eastAsia="仿宋_GB2312"/>
                <w:color w:val="000000"/>
                <w:sz w:val="18"/>
                <w:szCs w:val="18"/>
              </w:rPr>
              <w:t>　</w:t>
            </w:r>
          </w:p>
        </w:tc>
        <w:tc>
          <w:tcPr>
            <w:tcW w:w="523"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ascii="仿宋_GB2312" w:eastAsia="仿宋_GB2312"/>
                <w:color w:val="000000"/>
                <w:sz w:val="18"/>
                <w:szCs w:val="18"/>
              </w:rPr>
              <w:t>602.21</w:t>
            </w:r>
            <w:r>
              <w:rPr>
                <w:rFonts w:hint="eastAsia" w:ascii="仿宋_GB2312" w:eastAsia="仿宋_GB2312"/>
                <w:color w:val="000000"/>
                <w:sz w:val="18"/>
                <w:szCs w:val="18"/>
              </w:rPr>
              <w:t>　</w:t>
            </w:r>
          </w:p>
        </w:tc>
        <w:tc>
          <w:tcPr>
            <w:tcW w:w="465"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ascii="仿宋_GB2312" w:eastAsia="仿宋_GB2312"/>
                <w:color w:val="000000"/>
                <w:sz w:val="18"/>
                <w:szCs w:val="18"/>
              </w:rPr>
              <w:t>585.21</w:t>
            </w: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33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hint="eastAsia" w:ascii="仿宋_GB2312" w:eastAsia="仿宋_GB2312"/>
                <w:color w:val="000000"/>
                <w:sz w:val="18"/>
                <w:szCs w:val="18"/>
              </w:rPr>
            </w:pP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407" w:type="pct"/>
            <w:tcBorders>
              <w:top w:val="single" w:color="auto" w:sz="4" w:space="0"/>
              <w:left w:val="nil"/>
              <w:bottom w:val="single" w:color="auto" w:sz="4" w:space="0"/>
              <w:right w:val="single" w:color="auto" w:sz="4" w:space="0"/>
            </w:tcBorders>
            <w:vAlign w:val="center"/>
          </w:tcPr>
          <w:p>
            <w:pPr>
              <w:jc w:val="right"/>
              <w:rPr>
                <w:rFonts w:hint="default" w:ascii="仿宋_GB2312" w:eastAsia="仿宋_GB2312"/>
                <w:color w:val="000000"/>
                <w:sz w:val="18"/>
                <w:szCs w:val="18"/>
                <w:lang w:val="en-US" w:eastAsia="zh-CN"/>
              </w:rPr>
            </w:pPr>
            <w:r>
              <w:rPr>
                <w:rFonts w:ascii="仿宋_GB2312" w:eastAsia="仿宋_GB2312"/>
                <w:color w:val="000000"/>
                <w:sz w:val="18"/>
                <w:szCs w:val="18"/>
              </w:rPr>
              <w:t>17</w:t>
            </w:r>
            <w:r>
              <w:rPr>
                <w:rFonts w:hint="eastAsia" w:ascii="仿宋_GB2312" w:eastAsia="仿宋_GB2312"/>
                <w:color w:val="000000"/>
                <w:sz w:val="18"/>
                <w:szCs w:val="18"/>
                <w:lang w:val="en-US" w:eastAsia="zh-CN"/>
              </w:rPr>
              <w:t>.00</w:t>
            </w:r>
          </w:p>
        </w:tc>
        <w:tc>
          <w:tcPr>
            <w:tcW w:w="229" w:type="pct"/>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22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339" w:type="pct"/>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bl>
    <w:p>
      <w:pPr>
        <w:widowControl/>
        <w:spacing w:line="500" w:lineRule="exact"/>
        <w:jc w:val="left"/>
        <w:outlineLvl w:val="1"/>
        <w:rPr>
          <w:rFonts w:hint="eastAsia" w:ascii="仿宋_GB2312" w:hAnsi="宋体" w:eastAsia="仿宋_GB2312"/>
          <w:b/>
          <w:kern w:val="0"/>
          <w:sz w:val="32"/>
          <w:szCs w:val="32"/>
        </w:rPr>
      </w:pPr>
    </w:p>
    <w:p>
      <w:pPr>
        <w:widowControl/>
        <w:spacing w:line="50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50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pPr>
        <w:widowControl/>
        <w:spacing w:line="280" w:lineRule="exact"/>
        <w:jc w:val="left"/>
        <w:outlineLvl w:val="1"/>
        <w:rPr>
          <w:rFonts w:ascii="仿宋_GB2312" w:hAnsi="宋体" w:eastAsia="仿宋_GB2312"/>
          <w:kern w:val="0"/>
          <w:sz w:val="24"/>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cs="宋体"/>
          <w:spacing w:val="-20"/>
          <w:kern w:val="0"/>
          <w:sz w:val="24"/>
        </w:rPr>
        <w:t>克</w:t>
      </w:r>
      <w:r>
        <w:rPr>
          <w:rFonts w:hint="eastAsia" w:ascii="仿宋_GB2312" w:hAnsi="宋体" w:eastAsia="仿宋_GB2312"/>
          <w:spacing w:val="-20"/>
          <w:kern w:val="0"/>
          <w:sz w:val="24"/>
        </w:rPr>
        <w:t>孜勒苏柯尔克孜自治州生态环境局</w:t>
      </w:r>
      <w:r>
        <w:rPr>
          <w:rFonts w:ascii="仿宋_GB2312" w:hAnsi="宋体" w:eastAsia="仿宋_GB2312"/>
          <w:spacing w:val="-20"/>
          <w:kern w:val="0"/>
          <w:sz w:val="24"/>
        </w:rPr>
        <w:t xml:space="preserve">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420" w:type="dxa"/>
        <w:tblInd w:w="-240" w:type="dxa"/>
        <w:tblLayout w:type="fixed"/>
        <w:tblCellMar>
          <w:top w:w="0" w:type="dxa"/>
          <w:left w:w="108" w:type="dxa"/>
          <w:bottom w:w="0" w:type="dxa"/>
          <w:right w:w="108" w:type="dxa"/>
        </w:tblCellMar>
      </w:tblPr>
      <w:tblGrid>
        <w:gridCol w:w="561"/>
        <w:gridCol w:w="426"/>
        <w:gridCol w:w="426"/>
        <w:gridCol w:w="2873"/>
        <w:gridCol w:w="1374"/>
        <w:gridCol w:w="1856"/>
        <w:gridCol w:w="1904"/>
      </w:tblGrid>
      <w:tr>
        <w:tblPrEx>
          <w:tblCellMar>
            <w:top w:w="0" w:type="dxa"/>
            <w:left w:w="108" w:type="dxa"/>
            <w:bottom w:w="0" w:type="dxa"/>
            <w:right w:w="108" w:type="dxa"/>
          </w:tblCellMar>
        </w:tblPrEx>
        <w:trPr>
          <w:trHeight w:val="345" w:hRule="atLeast"/>
        </w:trPr>
        <w:tc>
          <w:tcPr>
            <w:tcW w:w="4286"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项</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目</w:t>
            </w:r>
          </w:p>
        </w:tc>
        <w:tc>
          <w:tcPr>
            <w:tcW w:w="5134"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413"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87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37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合</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87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宋体"/>
                <w:b/>
                <w:bCs/>
                <w:color w:val="000000"/>
                <w:kern w:val="0"/>
                <w:sz w:val="20"/>
                <w:szCs w:val="20"/>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yellow"/>
                <w:lang w:val="en-US" w:eastAsia="zh-CN" w:bidi="ar-SA"/>
              </w:rPr>
            </w:pPr>
            <w:r>
              <w:rPr>
                <w:rFonts w:hint="eastAsia" w:ascii="宋体" w:hAnsi="宋体" w:eastAsia="宋体" w:cs="宋体"/>
                <w:i w:val="0"/>
                <w:color w:val="000000"/>
                <w:kern w:val="0"/>
                <w:sz w:val="18"/>
                <w:szCs w:val="18"/>
                <w:u w:val="none"/>
                <w:lang w:val="en-US" w:eastAsia="zh-CN" w:bidi="ar"/>
              </w:rPr>
              <w:t>205</w:t>
            </w:r>
          </w:p>
        </w:tc>
        <w:tc>
          <w:tcPr>
            <w:tcW w:w="426" w:type="dxa"/>
            <w:tcBorders>
              <w:top w:val="nil"/>
              <w:left w:val="nil"/>
              <w:bottom w:val="single" w:color="auto" w:sz="4" w:space="0"/>
              <w:right w:val="single" w:color="auto" w:sz="4" w:space="0"/>
            </w:tcBorders>
            <w:vAlign w:val="center"/>
          </w:tcPr>
          <w:p>
            <w:pPr>
              <w:jc w:val="center"/>
              <w:rPr>
                <w:rFonts w:ascii="宋体" w:hAnsi="Times New Roman" w:eastAsia="宋体" w:cs="宋体"/>
                <w:b w:val="0"/>
                <w:bCs w:val="0"/>
                <w:color w:val="000000"/>
                <w:kern w:val="0"/>
                <w:sz w:val="18"/>
                <w:szCs w:val="18"/>
                <w:highlight w:val="yellow"/>
                <w:lang w:val="en-US" w:eastAsia="zh-CN" w:bidi="ar-SA"/>
              </w:rPr>
            </w:pPr>
          </w:p>
        </w:tc>
        <w:tc>
          <w:tcPr>
            <w:tcW w:w="426" w:type="dxa"/>
            <w:tcBorders>
              <w:top w:val="nil"/>
              <w:left w:val="nil"/>
              <w:bottom w:val="single" w:color="auto" w:sz="4" w:space="0"/>
              <w:right w:val="single" w:color="auto" w:sz="4" w:space="0"/>
            </w:tcBorders>
            <w:vAlign w:val="center"/>
          </w:tcPr>
          <w:p>
            <w:pPr>
              <w:jc w:val="center"/>
              <w:rPr>
                <w:rFonts w:ascii="宋体" w:hAnsi="Times New Roman" w:eastAsia="宋体" w:cs="宋体"/>
                <w:b w:val="0"/>
                <w:bCs w:val="0"/>
                <w:color w:val="000000"/>
                <w:kern w:val="0"/>
                <w:sz w:val="18"/>
                <w:szCs w:val="18"/>
                <w:highlight w:val="none"/>
                <w:lang w:val="en-US" w:eastAsia="zh-CN" w:bidi="ar-SA"/>
              </w:rPr>
            </w:pPr>
          </w:p>
        </w:tc>
        <w:tc>
          <w:tcPr>
            <w:tcW w:w="2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教育支出</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5.20</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5.20</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val="0"/>
                <w:bCs w:val="0"/>
                <w:color w:val="000000"/>
                <w:kern w:val="0"/>
                <w:sz w:val="18"/>
                <w:szCs w:val="18"/>
                <w:highlight w:val="none"/>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宋体"/>
                <w:b w:val="0"/>
                <w:bCs w:val="0"/>
                <w:color w:val="000000"/>
                <w:kern w:val="0"/>
                <w:sz w:val="18"/>
                <w:szCs w:val="18"/>
                <w:highlight w:val="yellow"/>
              </w:rPr>
            </w:pPr>
            <w:r>
              <w:rPr>
                <w:rFonts w:hint="eastAsia" w:ascii="宋体" w:hAnsi="宋体" w:eastAsia="宋体" w:cs="宋体"/>
                <w:i w:val="0"/>
                <w:color w:val="000000"/>
                <w:kern w:val="0"/>
                <w:sz w:val="18"/>
                <w:szCs w:val="18"/>
                <w:u w:val="none"/>
                <w:lang w:val="en-US" w:eastAsia="zh-CN" w:bidi="ar"/>
              </w:rPr>
              <w:t>205</w:t>
            </w:r>
          </w:p>
        </w:tc>
        <w:tc>
          <w:tcPr>
            <w:tcW w:w="4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宋体"/>
                <w:b w:val="0"/>
                <w:bCs w:val="0"/>
                <w:color w:val="000000"/>
                <w:kern w:val="0"/>
                <w:sz w:val="18"/>
                <w:szCs w:val="18"/>
                <w:highlight w:val="yellow"/>
              </w:rPr>
            </w:pPr>
            <w:r>
              <w:rPr>
                <w:rFonts w:hint="eastAsia" w:ascii="宋体" w:hAnsi="宋体" w:eastAsia="宋体" w:cs="宋体"/>
                <w:i w:val="0"/>
                <w:color w:val="000000"/>
                <w:kern w:val="0"/>
                <w:sz w:val="18"/>
                <w:szCs w:val="18"/>
                <w:u w:val="none"/>
                <w:lang w:val="en-US" w:eastAsia="zh-CN" w:bidi="ar"/>
              </w:rPr>
              <w:t>02</w:t>
            </w:r>
          </w:p>
        </w:tc>
        <w:tc>
          <w:tcPr>
            <w:tcW w:w="426" w:type="dxa"/>
            <w:tcBorders>
              <w:top w:val="nil"/>
              <w:left w:val="nil"/>
              <w:bottom w:val="single" w:color="auto" w:sz="4" w:space="0"/>
              <w:right w:val="single" w:color="auto" w:sz="4" w:space="0"/>
            </w:tcBorders>
            <w:vAlign w:val="center"/>
          </w:tcPr>
          <w:p>
            <w:pPr>
              <w:jc w:val="center"/>
              <w:rPr>
                <w:rFonts w:ascii="宋体" w:cs="宋体"/>
                <w:b w:val="0"/>
                <w:bCs w:val="0"/>
                <w:color w:val="000000"/>
                <w:kern w:val="0"/>
                <w:sz w:val="18"/>
                <w:szCs w:val="18"/>
                <w:highlight w:val="none"/>
              </w:rPr>
            </w:pPr>
          </w:p>
        </w:tc>
        <w:tc>
          <w:tcPr>
            <w:tcW w:w="2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宋体"/>
                <w:b w:val="0"/>
                <w:bCs w:val="0"/>
                <w:color w:val="000000"/>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普通教育</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eastAsia="宋体" w:cs="宋体"/>
                <w:b w:val="0"/>
                <w:bCs w:val="0"/>
                <w:color w:val="000000"/>
                <w:kern w:val="0"/>
                <w:sz w:val="18"/>
                <w:szCs w:val="18"/>
                <w:highlight w:val="none"/>
                <w:lang w:val="en-US" w:eastAsia="zh-CN"/>
              </w:rPr>
            </w:pPr>
            <w:r>
              <w:rPr>
                <w:rFonts w:hint="eastAsia" w:ascii="宋体" w:cs="宋体"/>
                <w:b w:val="0"/>
                <w:bCs w:val="0"/>
                <w:color w:val="000000"/>
                <w:kern w:val="0"/>
                <w:sz w:val="18"/>
                <w:szCs w:val="18"/>
                <w:highlight w:val="none"/>
                <w:lang w:val="en-US" w:eastAsia="zh-CN"/>
              </w:rPr>
              <w:t>5.20</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hint="default" w:ascii="宋体" w:eastAsia="宋体" w:cs="宋体"/>
                <w:b w:val="0"/>
                <w:bCs w:val="0"/>
                <w:color w:val="000000"/>
                <w:kern w:val="0"/>
                <w:sz w:val="18"/>
                <w:szCs w:val="18"/>
                <w:highlight w:val="none"/>
                <w:lang w:val="en-US" w:eastAsia="zh-CN"/>
              </w:rPr>
            </w:pPr>
            <w:r>
              <w:rPr>
                <w:rFonts w:hint="eastAsia" w:ascii="宋体" w:cs="宋体"/>
                <w:b w:val="0"/>
                <w:bCs w:val="0"/>
                <w:color w:val="000000"/>
                <w:kern w:val="0"/>
                <w:sz w:val="18"/>
                <w:szCs w:val="18"/>
                <w:highlight w:val="none"/>
                <w:lang w:val="en-US" w:eastAsia="zh-CN"/>
              </w:rPr>
              <w:t>5.20</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val="0"/>
                <w:bCs w:val="0"/>
                <w:color w:val="000000"/>
                <w:kern w:val="0"/>
                <w:sz w:val="18"/>
                <w:szCs w:val="18"/>
                <w:highlight w:val="none"/>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yellow"/>
                <w:lang w:val="en-US" w:eastAsia="zh-CN" w:bidi="ar-SA"/>
              </w:rPr>
            </w:pPr>
            <w:r>
              <w:rPr>
                <w:rFonts w:hint="eastAsia" w:ascii="宋体" w:hAnsi="宋体" w:eastAsia="宋体" w:cs="宋体"/>
                <w:i w:val="0"/>
                <w:color w:val="000000"/>
                <w:kern w:val="0"/>
                <w:sz w:val="18"/>
                <w:szCs w:val="18"/>
                <w:u w:val="none"/>
                <w:lang w:val="en-US" w:eastAsia="zh-CN" w:bidi="ar"/>
              </w:rPr>
              <w:t>205</w:t>
            </w:r>
          </w:p>
        </w:tc>
        <w:tc>
          <w:tcPr>
            <w:tcW w:w="4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yellow"/>
                <w:lang w:val="en-US" w:eastAsia="zh-CN" w:bidi="ar-SA"/>
              </w:rPr>
            </w:pPr>
            <w:r>
              <w:rPr>
                <w:rFonts w:hint="eastAsia" w:ascii="宋体" w:hAnsi="宋体" w:eastAsia="宋体" w:cs="宋体"/>
                <w:i w:val="0"/>
                <w:color w:val="000000"/>
                <w:kern w:val="0"/>
                <w:sz w:val="18"/>
                <w:szCs w:val="18"/>
                <w:u w:val="none"/>
                <w:lang w:val="en-US" w:eastAsia="zh-CN" w:bidi="ar"/>
              </w:rPr>
              <w:t>02</w:t>
            </w:r>
          </w:p>
        </w:tc>
        <w:tc>
          <w:tcPr>
            <w:tcW w:w="4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01</w:t>
            </w:r>
          </w:p>
        </w:tc>
        <w:tc>
          <w:tcPr>
            <w:tcW w:w="2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学前教育</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5.20</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5.20</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highlight w:val="none"/>
                <w:lang w:val="en-US" w:eastAsia="zh-CN" w:bidi="ar-SA"/>
              </w:rPr>
            </w:pPr>
          </w:p>
        </w:tc>
      </w:tr>
      <w:tr>
        <w:tblPrEx>
          <w:tblCellMar>
            <w:top w:w="0" w:type="dxa"/>
            <w:left w:w="108" w:type="dxa"/>
            <w:bottom w:w="0" w:type="dxa"/>
            <w:right w:w="108" w:type="dxa"/>
          </w:tblCellMar>
        </w:tblPrEx>
        <w:trPr>
          <w:trHeight w:val="90" w:hRule="atLeast"/>
        </w:trPr>
        <w:tc>
          <w:tcPr>
            <w:tcW w:w="56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宋体"/>
                <w:b w:val="0"/>
                <w:bCs w:val="0"/>
                <w:color w:val="000000"/>
                <w:kern w:val="0"/>
                <w:sz w:val="18"/>
                <w:szCs w:val="18"/>
                <w:highlight w:val="yellow"/>
              </w:rPr>
            </w:pPr>
            <w:r>
              <w:rPr>
                <w:rFonts w:hint="eastAsia" w:ascii="宋体" w:hAnsi="宋体" w:eastAsia="宋体" w:cs="宋体"/>
                <w:b w:val="0"/>
                <w:bCs w:val="0"/>
                <w:i w:val="0"/>
                <w:color w:val="000000"/>
                <w:kern w:val="0"/>
                <w:sz w:val="18"/>
                <w:szCs w:val="18"/>
                <w:u w:val="none"/>
                <w:lang w:val="en-US" w:eastAsia="zh-CN" w:bidi="ar"/>
              </w:rPr>
              <w:t>211</w:t>
            </w:r>
          </w:p>
        </w:tc>
        <w:tc>
          <w:tcPr>
            <w:tcW w:w="4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宋体"/>
                <w:b w:val="0"/>
                <w:bCs w:val="0"/>
                <w:color w:val="000000"/>
                <w:kern w:val="0"/>
                <w:sz w:val="18"/>
                <w:szCs w:val="18"/>
                <w:highlight w:val="yellow"/>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val="0"/>
                <w:bCs w:val="0"/>
                <w:color w:val="000000"/>
                <w:kern w:val="0"/>
                <w:sz w:val="18"/>
                <w:szCs w:val="18"/>
                <w:highlight w:val="none"/>
              </w:rPr>
            </w:pP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val="0"/>
                <w:bCs w:val="0"/>
                <w:color w:val="000000"/>
                <w:kern w:val="0"/>
                <w:sz w:val="18"/>
                <w:szCs w:val="18"/>
                <w:highlight w:val="none"/>
              </w:rPr>
            </w:pPr>
            <w:r>
              <w:rPr>
                <w:rFonts w:hint="eastAsia" w:ascii="宋体" w:hAnsi="宋体" w:cs="宋体"/>
                <w:b w:val="0"/>
                <w:bCs w:val="0"/>
                <w:color w:val="000000"/>
                <w:kern w:val="0"/>
                <w:sz w:val="18"/>
                <w:szCs w:val="18"/>
                <w:highlight w:val="none"/>
              </w:rPr>
              <w:t>节能环保支出</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597.01</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502.01</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95</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lang w:val="en-US" w:eastAsia="zh-CN" w:bidi="ar-SA"/>
              </w:rPr>
            </w:pPr>
            <w:r>
              <w:rPr>
                <w:rFonts w:hint="eastAsia" w:ascii="宋体" w:hAnsi="宋体" w:eastAsia="宋体" w:cs="宋体"/>
                <w:b w:val="0"/>
                <w:bCs w:val="0"/>
                <w:i w:val="0"/>
                <w:color w:val="000000"/>
                <w:kern w:val="0"/>
                <w:sz w:val="18"/>
                <w:szCs w:val="18"/>
                <w:u w:val="none"/>
                <w:lang w:val="en-US" w:eastAsia="zh-CN" w:bidi="ar"/>
              </w:rPr>
              <w:t>211</w:t>
            </w:r>
          </w:p>
        </w:tc>
        <w:tc>
          <w:tcPr>
            <w:tcW w:w="4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Times New Roman" w:eastAsia="宋体" w:cs="宋体"/>
                <w:b w:val="0"/>
                <w:bCs w:val="0"/>
                <w:color w:val="000000"/>
                <w:kern w:val="0"/>
                <w:sz w:val="18"/>
                <w:szCs w:val="18"/>
                <w:lang w:val="en-US" w:eastAsia="zh-CN" w:bidi="ar-SA"/>
              </w:rPr>
            </w:pPr>
            <w:r>
              <w:rPr>
                <w:rFonts w:hint="eastAsia" w:ascii="宋体" w:cs="宋体"/>
                <w:b w:val="0"/>
                <w:bCs w:val="0"/>
                <w:color w:val="000000"/>
                <w:kern w:val="0"/>
                <w:sz w:val="18"/>
                <w:szCs w:val="18"/>
                <w:lang w:val="en-US" w:eastAsia="zh-CN" w:bidi="ar-SA"/>
              </w:rPr>
              <w:t>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lang w:val="en-US" w:eastAsia="zh-CN" w:bidi="ar-SA"/>
              </w:rPr>
            </w:pP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lang w:val="en-US" w:eastAsia="zh-CN" w:bidi="ar-SA"/>
              </w:rPr>
            </w:pPr>
            <w:r>
              <w:rPr>
                <w:rFonts w:hint="eastAsia" w:ascii="宋体" w:hAnsi="Times New Roman" w:eastAsia="宋体" w:cs="宋体"/>
                <w:b w:val="0"/>
                <w:bCs w:val="0"/>
                <w:color w:val="000000"/>
                <w:kern w:val="0"/>
                <w:sz w:val="18"/>
                <w:szCs w:val="18"/>
                <w:lang w:val="en-US" w:eastAsia="zh-CN" w:bidi="ar-SA"/>
              </w:rPr>
              <w:t>环境保护管理事务</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lang w:val="en-US" w:eastAsia="zh-CN" w:bidi="ar-SA"/>
              </w:rPr>
            </w:pPr>
            <w:r>
              <w:rPr>
                <w:rFonts w:hint="eastAsia" w:ascii="宋体" w:cs="宋体"/>
                <w:b w:val="0"/>
                <w:bCs w:val="0"/>
                <w:color w:val="000000"/>
                <w:kern w:val="0"/>
                <w:sz w:val="18"/>
                <w:szCs w:val="18"/>
                <w:lang w:val="en-US" w:eastAsia="zh-CN" w:bidi="ar-SA"/>
              </w:rPr>
              <w:t>597.01</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lang w:val="en-US" w:eastAsia="zh-CN" w:bidi="ar-SA"/>
              </w:rPr>
            </w:pPr>
            <w:r>
              <w:rPr>
                <w:rFonts w:hint="eastAsia" w:ascii="宋体" w:cs="宋体"/>
                <w:b w:val="0"/>
                <w:bCs w:val="0"/>
                <w:color w:val="000000"/>
                <w:kern w:val="0"/>
                <w:sz w:val="18"/>
                <w:szCs w:val="18"/>
                <w:lang w:val="en-US" w:eastAsia="zh-CN" w:bidi="ar-SA"/>
              </w:rPr>
              <w:t>502.01</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lang w:val="en-US" w:eastAsia="zh-CN" w:bidi="ar-SA"/>
              </w:rPr>
            </w:pPr>
            <w:r>
              <w:rPr>
                <w:rFonts w:hint="eastAsia" w:ascii="宋体" w:cs="宋体"/>
                <w:b w:val="0"/>
                <w:bCs w:val="0"/>
                <w:color w:val="000000"/>
                <w:kern w:val="0"/>
                <w:sz w:val="18"/>
                <w:szCs w:val="18"/>
                <w:lang w:val="en-US" w:eastAsia="zh-CN" w:bidi="ar-SA"/>
              </w:rPr>
              <w:t>95</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宋体"/>
                <w:b w:val="0"/>
                <w:bCs w:val="0"/>
                <w:color w:val="000000"/>
                <w:kern w:val="0"/>
                <w:sz w:val="18"/>
                <w:szCs w:val="18"/>
              </w:rPr>
            </w:pPr>
            <w:r>
              <w:rPr>
                <w:rFonts w:hint="eastAsia" w:ascii="宋体" w:hAnsi="宋体" w:eastAsia="宋体" w:cs="宋体"/>
                <w:b w:val="0"/>
                <w:bCs w:val="0"/>
                <w:i w:val="0"/>
                <w:color w:val="000000"/>
                <w:kern w:val="0"/>
                <w:sz w:val="18"/>
                <w:szCs w:val="18"/>
                <w:u w:val="none"/>
                <w:lang w:val="en-US" w:eastAsia="zh-CN" w:bidi="ar"/>
              </w:rPr>
              <w:t>211</w:t>
            </w:r>
          </w:p>
        </w:tc>
        <w:tc>
          <w:tcPr>
            <w:tcW w:w="4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eastAsia="宋体" w:cs="宋体"/>
                <w:b w:val="0"/>
                <w:bCs w:val="0"/>
                <w:color w:val="000000"/>
                <w:kern w:val="0"/>
                <w:sz w:val="18"/>
                <w:szCs w:val="18"/>
                <w:lang w:val="en-US" w:eastAsia="zh-CN"/>
              </w:rPr>
            </w:pPr>
            <w:r>
              <w:rPr>
                <w:rFonts w:hint="eastAsia" w:ascii="宋体" w:cs="宋体"/>
                <w:b w:val="0"/>
                <w:bCs w:val="0"/>
                <w:color w:val="000000"/>
                <w:kern w:val="0"/>
                <w:sz w:val="18"/>
                <w:szCs w:val="18"/>
                <w:lang w:val="en-US" w:eastAsia="zh-CN"/>
              </w:rPr>
              <w:t>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val="0"/>
                <w:bCs w:val="0"/>
                <w:color w:val="000000"/>
                <w:kern w:val="0"/>
                <w:sz w:val="18"/>
                <w:szCs w:val="18"/>
              </w:rPr>
            </w:pPr>
            <w:r>
              <w:rPr>
                <w:rFonts w:hint="eastAsia" w:ascii="宋体" w:hAnsi="宋体" w:cs="宋体"/>
                <w:b w:val="0"/>
                <w:bCs w:val="0"/>
                <w:color w:val="000000"/>
                <w:kern w:val="0"/>
                <w:sz w:val="18"/>
                <w:szCs w:val="18"/>
                <w:lang w:val="en-US" w:eastAsia="zh-CN"/>
              </w:rPr>
              <w:t>99</w:t>
            </w: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val="0"/>
                <w:bCs w:val="0"/>
                <w:color w:val="000000"/>
                <w:kern w:val="0"/>
                <w:sz w:val="18"/>
                <w:szCs w:val="18"/>
              </w:rPr>
            </w:pPr>
            <w:r>
              <w:rPr>
                <w:rFonts w:hint="eastAsia" w:ascii="宋体" w:hAnsi="宋体" w:cs="宋体"/>
                <w:b w:val="0"/>
                <w:bCs w:val="0"/>
                <w:color w:val="000000"/>
                <w:kern w:val="0"/>
                <w:sz w:val="18"/>
                <w:szCs w:val="18"/>
              </w:rPr>
              <w:t>其他环境保护管理事务支出</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95.00</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val="0"/>
                <w:bCs w:val="0"/>
                <w:color w:val="000000"/>
                <w:kern w:val="0"/>
                <w:sz w:val="18"/>
                <w:szCs w:val="18"/>
              </w:rPr>
            </w:pPr>
            <w:r>
              <w:rPr>
                <w:rFonts w:hint="eastAsia" w:ascii="宋体" w:hAnsi="宋体" w:cs="宋体"/>
                <w:b w:val="0"/>
                <w:bCs w:val="0"/>
                <w:color w:val="000000"/>
                <w:kern w:val="0"/>
                <w:sz w:val="18"/>
                <w:szCs w:val="18"/>
                <w:lang w:val="en-US" w:eastAsia="zh-CN"/>
              </w:rPr>
              <w:t>95.00</w:t>
            </w:r>
            <w:r>
              <w:rPr>
                <w:rFonts w:hint="eastAsia" w:ascii="宋体" w:hAnsi="宋体" w:cs="宋体"/>
                <w:b w:val="0"/>
                <w:bCs w:val="0"/>
                <w:color w:val="000000"/>
                <w:kern w:val="0"/>
                <w:sz w:val="18"/>
                <w:szCs w:val="18"/>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b w:val="0"/>
                <w:bCs w:val="0"/>
                <w:i w:val="0"/>
                <w:color w:val="000000"/>
                <w:kern w:val="0"/>
                <w:sz w:val="18"/>
                <w:szCs w:val="18"/>
                <w:highlight w:val="none"/>
                <w:u w:val="none"/>
                <w:lang w:val="en-US" w:eastAsia="zh-CN" w:bidi="ar"/>
              </w:rPr>
              <w:t>211</w:t>
            </w:r>
          </w:p>
        </w:tc>
        <w:tc>
          <w:tcPr>
            <w:tcW w:w="4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01</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01</w:t>
            </w: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highlight w:val="none"/>
                <w:lang w:val="en-US" w:eastAsia="zh-CN" w:bidi="ar-SA"/>
              </w:rPr>
            </w:pPr>
            <w:r>
              <w:rPr>
                <w:rFonts w:hint="eastAsia" w:ascii="宋体" w:hAnsi="Times New Roman" w:eastAsia="宋体" w:cs="宋体"/>
                <w:b w:val="0"/>
                <w:bCs w:val="0"/>
                <w:color w:val="000000"/>
                <w:kern w:val="0"/>
                <w:sz w:val="18"/>
                <w:szCs w:val="18"/>
                <w:highlight w:val="none"/>
                <w:lang w:val="en-US" w:eastAsia="zh-CN" w:bidi="ar-SA"/>
              </w:rPr>
              <w:t>行政运行（环境保护管理事务）</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502.01</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502.01</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21"/>
                <w:szCs w:val="21"/>
                <w:highlight w:val="yellow"/>
                <w:lang w:val="en-US" w:eastAsia="zh-CN" w:bidi="ar-SA"/>
              </w:rPr>
            </w:pPr>
          </w:p>
        </w:tc>
        <w:tc>
          <w:tcPr>
            <w:tcW w:w="4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21"/>
                <w:szCs w:val="21"/>
                <w:highlight w:val="yellow"/>
                <w:lang w:val="en-US" w:eastAsia="zh-CN" w:bidi="ar-SA"/>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none"/>
                <w:lang w:val="en-US" w:eastAsia="zh-CN" w:bidi="ar-SA"/>
              </w:rPr>
            </w:pPr>
          </w:p>
        </w:tc>
        <w:tc>
          <w:tcPr>
            <w:tcW w:w="2873" w:type="dxa"/>
            <w:tcBorders>
              <w:top w:val="nil"/>
              <w:left w:val="nil"/>
              <w:bottom w:val="single" w:color="auto" w:sz="4" w:space="0"/>
              <w:right w:val="single" w:color="auto" w:sz="4" w:space="0"/>
            </w:tcBorders>
            <w:vAlign w:val="center"/>
          </w:tcPr>
          <w:p>
            <w:pPr>
              <w:widowControl/>
              <w:spacing w:line="280" w:lineRule="exact"/>
              <w:jc w:val="both"/>
              <w:rPr>
                <w:rFonts w:ascii="宋体" w:hAnsi="Times New Roman" w:eastAsia="宋体" w:cs="宋体"/>
                <w:b w:val="0"/>
                <w:bCs w:val="0"/>
                <w:color w:val="000000"/>
                <w:kern w:val="0"/>
                <w:sz w:val="21"/>
                <w:szCs w:val="21"/>
                <w:highlight w:val="none"/>
                <w:lang w:val="en-US" w:eastAsia="zh-CN" w:bidi="ar-SA"/>
              </w:rPr>
            </w:pP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none"/>
                <w:lang w:val="en-US" w:eastAsia="zh-CN" w:bidi="ar-SA"/>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none"/>
                <w:lang w:val="en-US" w:eastAsia="zh-CN" w:bidi="ar-SA"/>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none"/>
                <w:lang w:val="en-US" w:eastAsia="zh-CN" w:bidi="ar-SA"/>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yellow"/>
                <w:lang w:val="en-US" w:eastAsia="zh-CN" w:bidi="ar-SA"/>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yellow"/>
                <w:lang w:val="en-US" w:eastAsia="zh-CN" w:bidi="ar-SA"/>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yellow"/>
                <w:lang w:val="en-US" w:eastAsia="zh-CN" w:bidi="ar-SA"/>
              </w:rPr>
            </w:pP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yellow"/>
                <w:lang w:val="en-US" w:eastAsia="zh-CN" w:bidi="ar-SA"/>
              </w:rPr>
            </w:pP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yellow"/>
                <w:lang w:val="en-US" w:eastAsia="zh-CN" w:bidi="ar-SA"/>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yellow"/>
                <w:lang w:val="en-US" w:eastAsia="zh-CN" w:bidi="ar-SA"/>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yellow"/>
                <w:lang w:val="en-US" w:eastAsia="zh-CN" w:bidi="ar-SA"/>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yellow"/>
                <w:lang w:val="en-US" w:eastAsia="zh-CN" w:bidi="ar-SA"/>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yellow"/>
                <w:lang w:val="en-US" w:eastAsia="zh-CN" w:bidi="ar-SA"/>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yellow"/>
                <w:lang w:val="en-US" w:eastAsia="zh-CN" w:bidi="ar-SA"/>
              </w:rPr>
            </w:pPr>
          </w:p>
        </w:tc>
        <w:tc>
          <w:tcPr>
            <w:tcW w:w="2873" w:type="dxa"/>
            <w:tcBorders>
              <w:top w:val="nil"/>
              <w:left w:val="nil"/>
              <w:bottom w:val="single" w:color="auto" w:sz="4" w:space="0"/>
              <w:right w:val="single" w:color="auto" w:sz="4" w:space="0"/>
            </w:tcBorders>
            <w:vAlign w:val="center"/>
          </w:tcPr>
          <w:p>
            <w:pPr>
              <w:widowControl/>
              <w:spacing w:line="280" w:lineRule="exact"/>
              <w:jc w:val="both"/>
              <w:rPr>
                <w:rFonts w:ascii="宋体" w:hAnsi="Times New Roman" w:eastAsia="宋体" w:cs="宋体"/>
                <w:b w:val="0"/>
                <w:bCs w:val="0"/>
                <w:color w:val="000000"/>
                <w:kern w:val="0"/>
                <w:sz w:val="21"/>
                <w:szCs w:val="21"/>
                <w:highlight w:val="yellow"/>
                <w:lang w:val="en-US" w:eastAsia="zh-CN" w:bidi="ar-SA"/>
              </w:rPr>
            </w:pP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yellow"/>
                <w:lang w:val="en-US" w:eastAsia="zh-CN" w:bidi="ar-SA"/>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yellow"/>
                <w:lang w:val="en-US" w:eastAsia="zh-CN" w:bidi="ar-SA"/>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21"/>
                <w:szCs w:val="21"/>
                <w:highlight w:val="yellow"/>
                <w:lang w:val="en-US" w:eastAsia="zh-CN" w:bidi="ar-SA"/>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1"/>
                <w:szCs w:val="21"/>
              </w:rPr>
            </w:pPr>
            <w:r>
              <w:rPr>
                <w:rFonts w:hint="eastAsia" w:ascii="宋体" w:hAnsi="宋体" w:cs="宋体"/>
                <w:b/>
                <w:bCs/>
                <w:color w:val="000000"/>
                <w:kern w:val="0"/>
                <w:sz w:val="21"/>
                <w:szCs w:val="21"/>
              </w:rPr>
              <w:t>　</w:t>
            </w:r>
          </w:p>
        </w:tc>
      </w:tr>
      <w:tr>
        <w:tblPrEx>
          <w:tblCellMar>
            <w:top w:w="0" w:type="dxa"/>
            <w:left w:w="108" w:type="dxa"/>
            <w:bottom w:w="0" w:type="dxa"/>
            <w:right w:w="108" w:type="dxa"/>
          </w:tblCellMar>
        </w:tblPrEx>
        <w:trPr>
          <w:trHeight w:val="579" w:hRule="atLeast"/>
        </w:trPr>
        <w:tc>
          <w:tcPr>
            <w:tcW w:w="561"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1"/>
                <w:szCs w:val="21"/>
              </w:rPr>
            </w:pPr>
            <w:r>
              <w:rPr>
                <w:rFonts w:hint="eastAsia" w:ascii="宋体" w:hAnsi="宋体" w:cs="宋体"/>
                <w:color w:val="000000"/>
                <w:kern w:val="0"/>
                <w:sz w:val="21"/>
                <w:szCs w:val="21"/>
              </w:rPr>
              <w:t>　</w:t>
            </w:r>
          </w:p>
        </w:tc>
        <w:tc>
          <w:tcPr>
            <w:tcW w:w="426"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1"/>
                <w:szCs w:val="21"/>
              </w:rPr>
            </w:pPr>
            <w:r>
              <w:rPr>
                <w:rFonts w:hint="eastAsia" w:ascii="宋体" w:hAnsi="宋体" w:cs="宋体"/>
                <w:color w:val="000000"/>
                <w:kern w:val="0"/>
                <w:sz w:val="21"/>
                <w:szCs w:val="21"/>
              </w:rPr>
              <w:t>　</w:t>
            </w:r>
          </w:p>
        </w:tc>
        <w:tc>
          <w:tcPr>
            <w:tcW w:w="426" w:type="dxa"/>
            <w:tcBorders>
              <w:top w:val="nil"/>
              <w:left w:val="nil"/>
              <w:bottom w:val="single" w:color="auto" w:sz="4" w:space="0"/>
              <w:right w:val="single" w:color="auto" w:sz="4" w:space="0"/>
            </w:tcBorders>
            <w:vAlign w:val="center"/>
          </w:tcPr>
          <w:p>
            <w:pPr>
              <w:widowControl/>
              <w:spacing w:line="280" w:lineRule="exact"/>
              <w:jc w:val="left"/>
              <w:rPr>
                <w:rFonts w:ascii="宋体" w:cs="宋体"/>
                <w:color w:val="000000"/>
                <w:kern w:val="0"/>
                <w:sz w:val="21"/>
                <w:szCs w:val="21"/>
              </w:rPr>
            </w:pPr>
            <w:r>
              <w:rPr>
                <w:rFonts w:hint="eastAsia" w:ascii="宋体" w:hAnsi="宋体" w:cs="宋体"/>
                <w:color w:val="000000"/>
                <w:kern w:val="0"/>
                <w:sz w:val="21"/>
                <w:szCs w:val="21"/>
              </w:rPr>
              <w:t>　</w:t>
            </w:r>
          </w:p>
        </w:tc>
        <w:tc>
          <w:tcPr>
            <w:tcW w:w="2873" w:type="dxa"/>
            <w:tcBorders>
              <w:top w:val="nil"/>
              <w:left w:val="nil"/>
              <w:bottom w:val="single" w:color="auto" w:sz="4" w:space="0"/>
              <w:right w:val="single" w:color="auto" w:sz="4" w:space="0"/>
            </w:tcBorders>
            <w:vAlign w:val="center"/>
          </w:tcPr>
          <w:p>
            <w:pPr>
              <w:widowControl/>
              <w:spacing w:line="280" w:lineRule="exact"/>
              <w:jc w:val="center"/>
              <w:rPr>
                <w:rFonts w:ascii="宋体" w:cs="宋体"/>
                <w:color w:val="000000"/>
                <w:kern w:val="0"/>
                <w:sz w:val="21"/>
                <w:szCs w:val="21"/>
              </w:rPr>
            </w:pPr>
            <w:r>
              <w:rPr>
                <w:rFonts w:hint="eastAsia" w:ascii="宋体" w:hAnsi="宋体" w:cs="宋体"/>
                <w:b/>
                <w:bCs/>
                <w:color w:val="000000"/>
                <w:kern w:val="0"/>
                <w:sz w:val="21"/>
                <w:szCs w:val="21"/>
              </w:rPr>
              <w:t>合</w:t>
            </w:r>
            <w:r>
              <w:rPr>
                <w:rFonts w:ascii="宋体" w:hAnsi="宋体" w:cs="宋体"/>
                <w:b/>
                <w:bCs/>
                <w:color w:val="000000"/>
                <w:kern w:val="0"/>
                <w:sz w:val="21"/>
                <w:szCs w:val="21"/>
              </w:rPr>
              <w:t xml:space="preserve">  </w:t>
            </w:r>
            <w:r>
              <w:rPr>
                <w:rFonts w:hint="eastAsia" w:ascii="宋体" w:hAnsi="宋体" w:cs="宋体"/>
                <w:b/>
                <w:bCs/>
                <w:color w:val="000000"/>
                <w:kern w:val="0"/>
                <w:sz w:val="21"/>
                <w:szCs w:val="21"/>
              </w:rPr>
              <w:t>计</w:t>
            </w:r>
          </w:p>
        </w:tc>
        <w:tc>
          <w:tcPr>
            <w:tcW w:w="1374" w:type="dxa"/>
            <w:tcBorders>
              <w:top w:val="nil"/>
              <w:left w:val="nil"/>
              <w:bottom w:val="single" w:color="auto" w:sz="4" w:space="0"/>
              <w:right w:val="single" w:color="auto" w:sz="4" w:space="0"/>
            </w:tcBorders>
            <w:vAlign w:val="center"/>
          </w:tcPr>
          <w:p>
            <w:pPr>
              <w:widowControl/>
              <w:spacing w:line="280" w:lineRule="exact"/>
              <w:jc w:val="left"/>
              <w:rPr>
                <w:rFonts w:hint="default" w:asci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602.21</w:t>
            </w:r>
          </w:p>
        </w:tc>
        <w:tc>
          <w:tcPr>
            <w:tcW w:w="1856" w:type="dxa"/>
            <w:tcBorders>
              <w:top w:val="nil"/>
              <w:left w:val="nil"/>
              <w:bottom w:val="single" w:color="auto" w:sz="4" w:space="0"/>
              <w:right w:val="single" w:color="auto" w:sz="4" w:space="0"/>
            </w:tcBorders>
            <w:vAlign w:val="center"/>
          </w:tcPr>
          <w:p>
            <w:pPr>
              <w:widowControl/>
              <w:spacing w:line="280" w:lineRule="exact"/>
              <w:jc w:val="left"/>
              <w:rPr>
                <w:rFonts w:hint="default" w:asci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507.21</w:t>
            </w:r>
          </w:p>
        </w:tc>
        <w:tc>
          <w:tcPr>
            <w:tcW w:w="1904" w:type="dxa"/>
            <w:tcBorders>
              <w:top w:val="nil"/>
              <w:left w:val="nil"/>
              <w:bottom w:val="single" w:color="auto" w:sz="4" w:space="0"/>
              <w:right w:val="single" w:color="auto" w:sz="4" w:space="0"/>
            </w:tcBorders>
            <w:vAlign w:val="center"/>
          </w:tcPr>
          <w:p>
            <w:pPr>
              <w:widowControl/>
              <w:spacing w:line="280" w:lineRule="exact"/>
              <w:jc w:val="left"/>
              <w:rPr>
                <w:rFonts w:hint="default" w:ascii="宋体" w:eastAsia="宋体" w:cs="宋体"/>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95.00</w:t>
            </w:r>
          </w:p>
        </w:tc>
      </w:tr>
    </w:tbl>
    <w:p>
      <w:pPr>
        <w:widowControl/>
        <w:spacing w:beforeLines="50" w:line="520" w:lineRule="exact"/>
        <w:outlineLvl w:val="1"/>
        <w:rPr>
          <w:rFonts w:hint="eastAsia" w:ascii="仿宋_GB2312" w:hAnsi="宋体" w:eastAsia="仿宋_GB2312"/>
          <w:b/>
          <w:kern w:val="0"/>
          <w:sz w:val="32"/>
          <w:szCs w:val="32"/>
        </w:rPr>
      </w:pPr>
    </w:p>
    <w:p>
      <w:pPr>
        <w:widowControl/>
        <w:spacing w:beforeLines="50" w:line="52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line="52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cs="宋体"/>
          <w:spacing w:val="-20"/>
          <w:kern w:val="0"/>
          <w:sz w:val="24"/>
        </w:rPr>
        <w:t>克</w:t>
      </w:r>
      <w:r>
        <w:rPr>
          <w:rFonts w:hint="eastAsia" w:ascii="仿宋_GB2312" w:hAnsi="宋体" w:eastAsia="仿宋_GB2312"/>
          <w:spacing w:val="-20"/>
          <w:kern w:val="0"/>
          <w:sz w:val="24"/>
        </w:rPr>
        <w:t>孜勒苏柯尔克孜自治州生态环境局</w:t>
      </w:r>
      <w:r>
        <w:rPr>
          <w:rFonts w:ascii="仿宋_GB2312" w:hAnsi="宋体" w:eastAsia="仿宋_GB2312"/>
          <w:spacing w:val="-20"/>
          <w:kern w:val="0"/>
          <w:sz w:val="24"/>
        </w:rPr>
        <w:t xml:space="preserve">  </w:t>
      </w:r>
      <w:r>
        <w:rPr>
          <w:rFonts w:ascii="仿宋_GB2312" w:hAnsi="宋体" w:eastAsia="仿宋_GB2312"/>
          <w:kern w:val="0"/>
          <w:szCs w:val="21"/>
        </w:rPr>
        <w:t xml:space="preserve">                       </w:t>
      </w:r>
      <w:r>
        <w:rPr>
          <w:rFonts w:hint="eastAsia" w:ascii="仿宋_GB2312" w:hAnsi="宋体" w:eastAsia="仿宋_GB2312"/>
          <w:kern w:val="0"/>
          <w:szCs w:val="21"/>
        </w:rPr>
        <w:t>单位：万元</w:t>
      </w:r>
    </w:p>
    <w:tbl>
      <w:tblPr>
        <w:tblStyle w:val="7"/>
        <w:tblW w:w="9551" w:type="dxa"/>
        <w:tblInd w:w="0" w:type="dxa"/>
        <w:tblLayout w:type="fixed"/>
        <w:tblCellMar>
          <w:top w:w="0" w:type="dxa"/>
          <w:left w:w="108" w:type="dxa"/>
          <w:bottom w:w="0" w:type="dxa"/>
          <w:right w:w="108" w:type="dxa"/>
        </w:tblCellMar>
      </w:tblPr>
      <w:tblGrid>
        <w:gridCol w:w="2696"/>
        <w:gridCol w:w="1305"/>
        <w:gridCol w:w="2595"/>
        <w:gridCol w:w="795"/>
        <w:gridCol w:w="765"/>
        <w:gridCol w:w="705"/>
        <w:gridCol w:w="690"/>
      </w:tblGrid>
      <w:tr>
        <w:tblPrEx>
          <w:tblCellMar>
            <w:top w:w="0" w:type="dxa"/>
            <w:left w:w="108" w:type="dxa"/>
            <w:bottom w:w="0" w:type="dxa"/>
            <w:right w:w="108" w:type="dxa"/>
          </w:tblCellMar>
        </w:tblPrEx>
        <w:trPr>
          <w:trHeight w:val="285" w:hRule="atLeast"/>
        </w:trPr>
        <w:tc>
          <w:tcPr>
            <w:tcW w:w="4001"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5550" w:type="dxa"/>
            <w:gridSpan w:val="5"/>
            <w:tcBorders>
              <w:top w:val="single" w:color="auto" w:sz="4" w:space="0"/>
              <w:left w:val="nil"/>
              <w:bottom w:val="single" w:color="auto" w:sz="4" w:space="0"/>
              <w:right w:val="single" w:color="000000" w:sz="4" w:space="0"/>
            </w:tcBorders>
            <w:noWrap/>
            <w:vAlign w:val="center"/>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725" w:hRule="atLeast"/>
        </w:trPr>
        <w:tc>
          <w:tcPr>
            <w:tcW w:w="269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30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计</w:t>
            </w:r>
          </w:p>
        </w:tc>
        <w:tc>
          <w:tcPr>
            <w:tcW w:w="259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79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计</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7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国有</w:t>
            </w:r>
            <w:r>
              <w:rPr>
                <w:rFonts w:ascii="仿宋_GB2312" w:hAnsi="宋体" w:eastAsia="仿宋_GB2312" w:cs="宋体"/>
                <w:b/>
                <w:kern w:val="0"/>
                <w:sz w:val="20"/>
                <w:szCs w:val="20"/>
                <w:highlight w:val="none"/>
              </w:rPr>
              <w:t>资本经营预算</w:t>
            </w: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一、财政拨款（补助）</w:t>
            </w:r>
          </w:p>
        </w:tc>
        <w:tc>
          <w:tcPr>
            <w:tcW w:w="130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585.21</w:t>
            </w: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201 </w:t>
            </w:r>
            <w:r>
              <w:rPr>
                <w:rFonts w:hint="eastAsia" w:ascii="仿宋_GB2312" w:hAnsi="宋体" w:eastAsia="仿宋_GB2312" w:cs="宋体"/>
                <w:kern w:val="0"/>
                <w:sz w:val="18"/>
                <w:szCs w:val="18"/>
                <w:highlight w:val="none"/>
              </w:rPr>
              <w:t>一般公共服务支出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7"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 xml:space="preserve"> </w:t>
            </w:r>
            <w:r>
              <w:rPr>
                <w:rFonts w:hint="eastAsia" w:ascii="仿宋_GB2312" w:hAnsi="宋体" w:eastAsia="仿宋_GB2312" w:cs="宋体"/>
                <w:color w:val="000000"/>
                <w:kern w:val="0"/>
                <w:sz w:val="18"/>
                <w:szCs w:val="18"/>
                <w:highlight w:val="none"/>
              </w:rPr>
              <w:t>一般公共预算</w:t>
            </w:r>
          </w:p>
        </w:tc>
        <w:tc>
          <w:tcPr>
            <w:tcW w:w="130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585.21</w:t>
            </w: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202 </w:t>
            </w:r>
            <w:r>
              <w:rPr>
                <w:rFonts w:hint="eastAsia" w:ascii="仿宋_GB2312" w:hAnsi="宋体" w:eastAsia="仿宋_GB2312" w:cs="宋体"/>
                <w:kern w:val="0"/>
                <w:sz w:val="18"/>
                <w:szCs w:val="18"/>
                <w:highlight w:val="none"/>
              </w:rPr>
              <w:t>外交支出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 xml:space="preserve"> </w:t>
            </w:r>
            <w:r>
              <w:rPr>
                <w:rFonts w:hint="eastAsia" w:ascii="仿宋_GB2312" w:hAnsi="宋体" w:eastAsia="仿宋_GB2312" w:cs="宋体"/>
                <w:color w:val="000000"/>
                <w:kern w:val="0"/>
                <w:sz w:val="18"/>
                <w:szCs w:val="18"/>
                <w:highlight w:val="none"/>
              </w:rPr>
              <w:t>政府性基金预算</w:t>
            </w:r>
          </w:p>
        </w:tc>
        <w:tc>
          <w:tcPr>
            <w:tcW w:w="130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203 </w:t>
            </w:r>
            <w:r>
              <w:rPr>
                <w:rFonts w:hint="eastAsia" w:ascii="仿宋_GB2312" w:hAnsi="宋体" w:eastAsia="仿宋_GB2312" w:cs="宋体"/>
                <w:kern w:val="0"/>
                <w:sz w:val="18"/>
                <w:szCs w:val="18"/>
                <w:highlight w:val="none"/>
              </w:rPr>
              <w:t>国防支出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hint="eastAsia" w:ascii="仿宋_GB2312" w:hAnsi="宋体" w:eastAsia="仿宋_GB2312" w:cs="宋体"/>
                <w:kern w:val="0"/>
                <w:sz w:val="18"/>
                <w:szCs w:val="18"/>
                <w:highlight w:val="none"/>
                <w:lang w:eastAsia="zh-CN"/>
              </w:rPr>
            </w:pPr>
            <w:r>
              <w:rPr>
                <w:rFonts w:hint="eastAsia" w:ascii="仿宋_GB2312" w:hAnsi="宋体" w:eastAsia="仿宋_GB2312" w:cs="宋体"/>
                <w:kern w:val="0"/>
                <w:sz w:val="18"/>
                <w:szCs w:val="18"/>
                <w:highlight w:val="none"/>
                <w:lang w:eastAsia="zh-CN"/>
              </w:rPr>
              <w:t>国有资本经营预算</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204 </w:t>
            </w:r>
            <w:r>
              <w:rPr>
                <w:rFonts w:hint="eastAsia" w:ascii="仿宋_GB2312" w:hAnsi="宋体" w:eastAsia="仿宋_GB2312" w:cs="宋体"/>
                <w:kern w:val="0"/>
                <w:sz w:val="18"/>
                <w:szCs w:val="18"/>
                <w:highlight w:val="none"/>
              </w:rPr>
              <w:t>公共安全支出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205 </w:t>
            </w:r>
            <w:r>
              <w:rPr>
                <w:rFonts w:hint="eastAsia" w:ascii="仿宋_GB2312" w:hAnsi="宋体" w:eastAsia="仿宋_GB2312" w:cs="宋体"/>
                <w:kern w:val="0"/>
                <w:sz w:val="18"/>
                <w:szCs w:val="18"/>
                <w:highlight w:val="none"/>
              </w:rPr>
              <w:t>教育支出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ascii="宋体" w:hAnsi="宋体" w:cs="宋体"/>
                <w:kern w:val="0"/>
                <w:sz w:val="18"/>
                <w:szCs w:val="18"/>
                <w:highlight w:val="none"/>
              </w:rPr>
              <w:t>5.20</w:t>
            </w: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ascii="宋体" w:hAnsi="宋体" w:cs="宋体"/>
                <w:kern w:val="0"/>
                <w:sz w:val="18"/>
                <w:szCs w:val="18"/>
                <w:highlight w:val="none"/>
              </w:rPr>
              <w:t>5.20</w:t>
            </w: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206 </w:t>
            </w:r>
            <w:r>
              <w:rPr>
                <w:rFonts w:hint="eastAsia" w:ascii="仿宋_GB2312" w:hAnsi="宋体" w:eastAsia="仿宋_GB2312" w:cs="宋体"/>
                <w:kern w:val="0"/>
                <w:sz w:val="18"/>
                <w:szCs w:val="18"/>
                <w:highlight w:val="none"/>
              </w:rPr>
              <w:t>科学技术支出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207 </w:t>
            </w:r>
            <w:r>
              <w:rPr>
                <w:rFonts w:hint="eastAsia" w:ascii="仿宋_GB2312" w:hAnsi="宋体" w:eastAsia="仿宋_GB2312" w:cs="宋体"/>
                <w:kern w:val="0"/>
                <w:sz w:val="18"/>
                <w:szCs w:val="18"/>
                <w:highlight w:val="none"/>
              </w:rPr>
              <w:t>文化旅游体育与传媒支出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208 </w:t>
            </w:r>
            <w:r>
              <w:rPr>
                <w:rFonts w:hint="eastAsia" w:ascii="仿宋_GB2312" w:hAnsi="宋体" w:eastAsia="仿宋_GB2312" w:cs="宋体"/>
                <w:kern w:val="0"/>
                <w:sz w:val="18"/>
                <w:szCs w:val="18"/>
                <w:highlight w:val="none"/>
              </w:rPr>
              <w:t>社会保障和就业支出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209 </w:t>
            </w:r>
            <w:r>
              <w:rPr>
                <w:rFonts w:hint="eastAsia" w:ascii="仿宋_GB2312" w:hAnsi="宋体" w:eastAsia="仿宋_GB2312" w:cs="宋体"/>
                <w:kern w:val="0"/>
                <w:sz w:val="18"/>
                <w:szCs w:val="18"/>
                <w:highlight w:val="none"/>
              </w:rPr>
              <w:t>社会保险基金支出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210 </w:t>
            </w:r>
            <w:r>
              <w:rPr>
                <w:rFonts w:hint="eastAsia" w:ascii="仿宋_GB2312" w:hAnsi="宋体" w:eastAsia="仿宋_GB2312" w:cs="宋体"/>
                <w:kern w:val="0"/>
                <w:sz w:val="18"/>
                <w:szCs w:val="18"/>
                <w:highlight w:val="none"/>
              </w:rPr>
              <w:t>卫生健康支出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211 </w:t>
            </w:r>
            <w:r>
              <w:rPr>
                <w:rFonts w:hint="eastAsia" w:ascii="仿宋_GB2312" w:hAnsi="宋体" w:eastAsia="仿宋_GB2312" w:cs="宋体"/>
                <w:kern w:val="0"/>
                <w:sz w:val="18"/>
                <w:szCs w:val="18"/>
                <w:highlight w:val="none"/>
              </w:rPr>
              <w:t>节能环保支出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ascii="宋体" w:hAnsi="宋体" w:cs="宋体"/>
                <w:kern w:val="0"/>
                <w:sz w:val="18"/>
                <w:szCs w:val="18"/>
                <w:highlight w:val="none"/>
              </w:rPr>
              <w:t>580.01</w:t>
            </w: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ascii="宋体" w:hAnsi="宋体" w:cs="宋体"/>
                <w:kern w:val="0"/>
                <w:sz w:val="18"/>
                <w:szCs w:val="18"/>
                <w:highlight w:val="none"/>
              </w:rPr>
              <w:t>580.01</w:t>
            </w: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212 </w:t>
            </w:r>
            <w:r>
              <w:rPr>
                <w:rFonts w:hint="eastAsia" w:ascii="仿宋_GB2312" w:hAnsi="宋体" w:eastAsia="仿宋_GB2312" w:cs="宋体"/>
                <w:kern w:val="0"/>
                <w:sz w:val="18"/>
                <w:szCs w:val="18"/>
                <w:highlight w:val="none"/>
              </w:rPr>
              <w:t>城乡社区支出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213 </w:t>
            </w:r>
            <w:r>
              <w:rPr>
                <w:rFonts w:hint="eastAsia" w:ascii="仿宋_GB2312" w:hAnsi="宋体" w:eastAsia="仿宋_GB2312" w:cs="宋体"/>
                <w:kern w:val="0"/>
                <w:sz w:val="18"/>
                <w:szCs w:val="18"/>
                <w:highlight w:val="none"/>
              </w:rPr>
              <w:t>农林水支出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214 </w:t>
            </w:r>
            <w:r>
              <w:rPr>
                <w:rFonts w:hint="eastAsia" w:ascii="仿宋_GB2312" w:hAnsi="宋体" w:eastAsia="仿宋_GB2312" w:cs="宋体"/>
                <w:kern w:val="0"/>
                <w:sz w:val="18"/>
                <w:szCs w:val="18"/>
                <w:highlight w:val="none"/>
              </w:rPr>
              <w:t>交通运输支出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215 </w:t>
            </w:r>
            <w:r>
              <w:rPr>
                <w:rFonts w:hint="eastAsia" w:ascii="仿宋_GB2312" w:hAnsi="宋体" w:eastAsia="仿宋_GB2312" w:cs="宋体"/>
                <w:kern w:val="0"/>
                <w:sz w:val="18"/>
                <w:szCs w:val="18"/>
                <w:highlight w:val="none"/>
              </w:rPr>
              <w:t>资源勘探工业信息等支出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216 </w:t>
            </w:r>
            <w:r>
              <w:rPr>
                <w:rFonts w:hint="eastAsia" w:ascii="仿宋_GB2312" w:hAnsi="宋体" w:eastAsia="仿宋_GB2312" w:cs="宋体"/>
                <w:kern w:val="0"/>
                <w:sz w:val="18"/>
                <w:szCs w:val="18"/>
                <w:highlight w:val="none"/>
              </w:rPr>
              <w:t>商业服务业等支出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217 </w:t>
            </w:r>
            <w:r>
              <w:rPr>
                <w:rFonts w:hint="eastAsia" w:ascii="仿宋_GB2312" w:hAnsi="宋体" w:eastAsia="仿宋_GB2312" w:cs="宋体"/>
                <w:kern w:val="0"/>
                <w:sz w:val="18"/>
                <w:szCs w:val="18"/>
                <w:highlight w:val="none"/>
              </w:rPr>
              <w:t>金融支出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219 </w:t>
            </w:r>
            <w:r>
              <w:rPr>
                <w:rFonts w:hint="eastAsia" w:ascii="仿宋_GB2312" w:hAnsi="宋体" w:eastAsia="仿宋_GB2312" w:cs="宋体"/>
                <w:kern w:val="0"/>
                <w:sz w:val="18"/>
                <w:szCs w:val="18"/>
                <w:highlight w:val="none"/>
              </w:rPr>
              <w:t>援助其他地区支出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220 </w:t>
            </w:r>
            <w:r>
              <w:rPr>
                <w:rFonts w:hint="eastAsia" w:ascii="仿宋_GB2312" w:hAnsi="宋体" w:eastAsia="仿宋_GB2312" w:cs="宋体"/>
                <w:kern w:val="0"/>
                <w:sz w:val="18"/>
                <w:szCs w:val="18"/>
                <w:highlight w:val="none"/>
              </w:rPr>
              <w:t>自然资源海洋气象等支出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221 </w:t>
            </w:r>
            <w:r>
              <w:rPr>
                <w:rFonts w:hint="eastAsia" w:ascii="仿宋_GB2312" w:hAnsi="宋体" w:eastAsia="仿宋_GB2312" w:cs="宋体"/>
                <w:kern w:val="0"/>
                <w:sz w:val="18"/>
                <w:szCs w:val="18"/>
                <w:highlight w:val="none"/>
              </w:rPr>
              <w:t>住房保障支出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222 </w:t>
            </w:r>
            <w:r>
              <w:rPr>
                <w:rFonts w:hint="eastAsia" w:ascii="仿宋_GB2312" w:hAnsi="宋体" w:eastAsia="仿宋_GB2312" w:cs="宋体"/>
                <w:kern w:val="0"/>
                <w:sz w:val="18"/>
                <w:szCs w:val="18"/>
                <w:highlight w:val="none"/>
              </w:rPr>
              <w:t>粮油物资储备支出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223 </w:t>
            </w:r>
            <w:r>
              <w:rPr>
                <w:rFonts w:hint="eastAsia" w:ascii="仿宋_GB2312" w:hAnsi="宋体" w:eastAsia="仿宋_GB2312" w:cs="宋体"/>
                <w:kern w:val="0"/>
                <w:sz w:val="18"/>
                <w:szCs w:val="18"/>
                <w:highlight w:val="none"/>
              </w:rPr>
              <w:t>国有资本经营预算支出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224</w:t>
            </w:r>
            <w:r>
              <w:rPr>
                <w:rFonts w:hint="eastAsia" w:ascii="仿宋_GB2312" w:hAnsi="宋体" w:eastAsia="仿宋_GB2312" w:cs="宋体"/>
                <w:kern w:val="0"/>
                <w:sz w:val="18"/>
                <w:szCs w:val="18"/>
                <w:highlight w:val="none"/>
              </w:rPr>
              <w:t>灾害防治及应急管理支出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227 </w:t>
            </w:r>
            <w:r>
              <w:rPr>
                <w:rFonts w:hint="eastAsia" w:ascii="仿宋_GB2312" w:hAnsi="宋体" w:eastAsia="仿宋_GB2312" w:cs="宋体"/>
                <w:kern w:val="0"/>
                <w:sz w:val="18"/>
                <w:szCs w:val="18"/>
                <w:highlight w:val="none"/>
              </w:rPr>
              <w:t>预备费</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 xml:space="preserve">229 </w:t>
            </w:r>
            <w:r>
              <w:rPr>
                <w:rFonts w:hint="eastAsia" w:ascii="仿宋_GB2312" w:hAnsi="宋体" w:eastAsia="仿宋_GB2312" w:cs="宋体"/>
                <w:kern w:val="0"/>
                <w:sz w:val="18"/>
                <w:szCs w:val="18"/>
                <w:highlight w:val="none"/>
              </w:rPr>
              <w:t>其他支出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lang w:val="en-US" w:eastAsia="zh-CN" w:bidi="ar-SA"/>
              </w:rPr>
            </w:pPr>
            <w:r>
              <w:rPr>
                <w:rFonts w:ascii="仿宋_GB2312" w:hAnsi="宋体" w:eastAsia="仿宋_GB2312" w:cs="宋体"/>
                <w:kern w:val="0"/>
                <w:sz w:val="18"/>
                <w:szCs w:val="18"/>
                <w:highlight w:val="none"/>
              </w:rPr>
              <w:t xml:space="preserve">231 </w:t>
            </w:r>
            <w:r>
              <w:rPr>
                <w:rFonts w:hint="eastAsia" w:ascii="仿宋_GB2312" w:hAnsi="宋体" w:eastAsia="仿宋_GB2312" w:cs="宋体"/>
                <w:kern w:val="0"/>
                <w:sz w:val="18"/>
                <w:szCs w:val="18"/>
                <w:highlight w:val="none"/>
              </w:rPr>
              <w:t>债务还本支出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lang w:val="en-US" w:eastAsia="zh-CN" w:bidi="ar-SA"/>
              </w:rPr>
            </w:pPr>
            <w:r>
              <w:rPr>
                <w:rFonts w:ascii="仿宋_GB2312" w:hAnsi="宋体" w:eastAsia="仿宋_GB2312" w:cs="宋体"/>
                <w:kern w:val="0"/>
                <w:sz w:val="18"/>
                <w:szCs w:val="18"/>
                <w:highlight w:val="none"/>
              </w:rPr>
              <w:t xml:space="preserve">232 </w:t>
            </w:r>
            <w:r>
              <w:rPr>
                <w:rFonts w:hint="eastAsia" w:ascii="仿宋_GB2312" w:hAnsi="宋体" w:eastAsia="仿宋_GB2312" w:cs="宋体"/>
                <w:kern w:val="0"/>
                <w:sz w:val="18"/>
                <w:szCs w:val="18"/>
                <w:highlight w:val="none"/>
              </w:rPr>
              <w:t>债务付息支出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lang w:val="en-US" w:eastAsia="zh-CN" w:bidi="ar-SA"/>
              </w:rPr>
            </w:pPr>
            <w:r>
              <w:rPr>
                <w:rFonts w:ascii="仿宋_GB2312" w:hAnsi="宋体" w:eastAsia="仿宋_GB2312" w:cs="宋体"/>
                <w:kern w:val="0"/>
                <w:sz w:val="18"/>
                <w:szCs w:val="18"/>
                <w:highlight w:val="none"/>
              </w:rPr>
              <w:t xml:space="preserve">233 </w:t>
            </w:r>
            <w:r>
              <w:rPr>
                <w:rFonts w:hint="eastAsia" w:ascii="仿宋_GB2312" w:hAnsi="宋体" w:eastAsia="仿宋_GB2312" w:cs="宋体"/>
                <w:kern w:val="0"/>
                <w:sz w:val="18"/>
                <w:szCs w:val="18"/>
                <w:highlight w:val="none"/>
              </w:rPr>
              <w:t>债务发行费用支出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lang w:val="en-US" w:eastAsia="zh-CN" w:bidi="ar-SA"/>
              </w:rPr>
            </w:pPr>
            <w:r>
              <w:rPr>
                <w:rFonts w:ascii="仿宋_GB2312" w:hAnsi="宋体" w:eastAsia="仿宋_GB2312" w:cs="宋体"/>
                <w:kern w:val="0"/>
                <w:sz w:val="18"/>
                <w:szCs w:val="18"/>
                <w:highlight w:val="none"/>
              </w:rPr>
              <w:t xml:space="preserve">234 </w:t>
            </w:r>
            <w:r>
              <w:rPr>
                <w:rFonts w:hint="eastAsia" w:ascii="仿宋_GB2312" w:hAnsi="宋体" w:eastAsia="仿宋_GB2312" w:cs="宋体"/>
                <w:kern w:val="0"/>
                <w:sz w:val="18"/>
                <w:szCs w:val="18"/>
                <w:highlight w:val="none"/>
              </w:rPr>
              <w:t>抗疫特别国债还本支出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hint="eastAsia" w:ascii="仿宋_GB2312" w:hAnsi="宋体" w:eastAsia="仿宋_GB2312" w:cs="宋体"/>
                <w:kern w:val="0"/>
                <w:sz w:val="18"/>
                <w:szCs w:val="18"/>
                <w:highlight w:val="none"/>
                <w:lang w:eastAsia="zh-CN"/>
              </w:rPr>
            </w:pPr>
            <w:r>
              <w:rPr>
                <w:rFonts w:hint="eastAsia" w:ascii="仿宋_GB2312" w:hAnsi="宋体" w:eastAsia="仿宋_GB2312" w:cs="宋体"/>
                <w:kern w:val="0"/>
                <w:sz w:val="18"/>
                <w:szCs w:val="18"/>
                <w:highlight w:val="none"/>
                <w:lang w:eastAsia="zh-CN"/>
              </w:rPr>
              <w:t>本年收入小计</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hint="default" w:ascii="仿宋_GB2312" w:hAnsi="宋体" w:eastAsia="仿宋_GB2312" w:cs="宋体"/>
                <w:color w:val="000000"/>
                <w:kern w:val="0"/>
                <w:sz w:val="18"/>
                <w:szCs w:val="18"/>
                <w:highlight w:val="none"/>
                <w:lang w:val="en-US" w:eastAsia="zh-CN"/>
              </w:rPr>
            </w:pPr>
            <w:r>
              <w:rPr>
                <w:rFonts w:hint="eastAsia" w:ascii="仿宋_GB2312" w:hAnsi="宋体" w:eastAsia="仿宋_GB2312" w:cs="宋体"/>
                <w:color w:val="000000"/>
                <w:kern w:val="0"/>
                <w:sz w:val="18"/>
                <w:szCs w:val="18"/>
                <w:highlight w:val="none"/>
                <w:lang w:val="en-US" w:eastAsia="zh-CN"/>
              </w:rPr>
              <w:t>585.21</w:t>
            </w:r>
          </w:p>
        </w:tc>
        <w:tc>
          <w:tcPr>
            <w:tcW w:w="259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本 年  支  出  小  计</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eastAsia="宋体" w:cs="宋体"/>
                <w:kern w:val="0"/>
                <w:sz w:val="18"/>
                <w:szCs w:val="18"/>
                <w:highlight w:val="none"/>
                <w:lang w:val="en-US" w:eastAsia="zh-CN"/>
              </w:rPr>
            </w:pPr>
            <w:r>
              <w:rPr>
                <w:rFonts w:hint="eastAsia" w:ascii="宋体" w:cs="宋体"/>
                <w:kern w:val="0"/>
                <w:sz w:val="18"/>
                <w:szCs w:val="18"/>
                <w:highlight w:val="none"/>
                <w:lang w:val="en-US" w:eastAsia="zh-CN"/>
              </w:rPr>
              <w:t>585.21</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hint="default" w:ascii="宋体" w:eastAsia="宋体" w:cs="宋体"/>
                <w:kern w:val="0"/>
                <w:sz w:val="18"/>
                <w:szCs w:val="18"/>
                <w:highlight w:val="none"/>
                <w:lang w:val="en-US" w:eastAsia="zh-CN"/>
              </w:rPr>
            </w:pPr>
            <w:r>
              <w:rPr>
                <w:rFonts w:hint="eastAsia" w:ascii="宋体" w:cs="宋体"/>
                <w:kern w:val="0"/>
                <w:sz w:val="18"/>
                <w:szCs w:val="18"/>
                <w:highlight w:val="none"/>
                <w:lang w:val="en-US" w:eastAsia="zh-CN"/>
              </w:rPr>
              <w:t>585.21</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r>
      <w:tr>
        <w:tblPrEx>
          <w:tblCellMar>
            <w:top w:w="0" w:type="dxa"/>
            <w:left w:w="108" w:type="dxa"/>
            <w:bottom w:w="0" w:type="dxa"/>
            <w:right w:w="108" w:type="dxa"/>
          </w:tblCellMar>
        </w:tblPrEx>
        <w:trPr>
          <w:trHeight w:val="422" w:hRule="exact"/>
        </w:trPr>
        <w:tc>
          <w:tcPr>
            <w:tcW w:w="2696" w:type="dxa"/>
            <w:tcBorders>
              <w:top w:val="nil"/>
              <w:left w:val="single" w:color="auto" w:sz="4" w:space="0"/>
              <w:bottom w:val="single" w:color="auto" w:sz="4" w:space="0"/>
              <w:right w:val="single" w:color="auto" w:sz="4" w:space="0"/>
            </w:tcBorders>
            <w:noWrap/>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ind w:leftChars="0"/>
              <w:jc w:val="both"/>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单位上年结余（不包含国库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ind w:leftChars="0"/>
              <w:jc w:val="both"/>
              <w:textAlignment w:val="bottom"/>
              <w:rPr>
                <w:rFonts w:hint="eastAsia" w:ascii="宋体" w:hAnsi="宋体" w:eastAsia="宋体" w:cs="宋体"/>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集中支付额度结余）</w:t>
            </w:r>
          </w:p>
        </w:tc>
        <w:tc>
          <w:tcPr>
            <w:tcW w:w="1305"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highlight w:val="none"/>
              </w:rPr>
            </w:pP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ascii="仿宋_GB2312" w:hAnsi="宋体" w:eastAsia="仿宋_GB2312" w:cs="宋体"/>
                <w:kern w:val="0"/>
                <w:sz w:val="18"/>
                <w:szCs w:val="18"/>
                <w:highlight w:val="none"/>
              </w:rPr>
              <w:t>230</w:t>
            </w:r>
            <w:r>
              <w:rPr>
                <w:rFonts w:hint="eastAsia" w:ascii="仿宋_GB2312" w:hAnsi="宋体" w:eastAsia="仿宋_GB2312" w:cs="宋体"/>
                <w:kern w:val="0"/>
                <w:sz w:val="18"/>
                <w:szCs w:val="18"/>
                <w:highlight w:val="none"/>
              </w:rPr>
              <w:t>转移性支出</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269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收</w:t>
            </w:r>
            <w:r>
              <w:rPr>
                <w:rFonts w:ascii="仿宋_GB2312" w:hAnsi="宋体" w:eastAsia="仿宋_GB2312" w:cs="宋体"/>
                <w:kern w:val="0"/>
                <w:sz w:val="18"/>
                <w:szCs w:val="18"/>
                <w:highlight w:val="none"/>
              </w:rPr>
              <w:t xml:space="preserve">  </w:t>
            </w:r>
            <w:r>
              <w:rPr>
                <w:rFonts w:hint="eastAsia" w:ascii="仿宋_GB2312" w:hAnsi="宋体" w:eastAsia="仿宋_GB2312" w:cs="宋体"/>
                <w:kern w:val="0"/>
                <w:sz w:val="18"/>
                <w:szCs w:val="18"/>
                <w:highlight w:val="none"/>
              </w:rPr>
              <w:t>入</w:t>
            </w:r>
            <w:r>
              <w:rPr>
                <w:rFonts w:ascii="仿宋_GB2312" w:hAnsi="宋体" w:eastAsia="仿宋_GB2312" w:cs="宋体"/>
                <w:kern w:val="0"/>
                <w:sz w:val="18"/>
                <w:szCs w:val="18"/>
                <w:highlight w:val="none"/>
              </w:rPr>
              <w:t xml:space="preserve">  </w:t>
            </w:r>
            <w:r>
              <w:rPr>
                <w:rFonts w:hint="eastAsia" w:ascii="仿宋_GB2312" w:hAnsi="宋体" w:eastAsia="仿宋_GB2312" w:cs="宋体"/>
                <w:kern w:val="0"/>
                <w:sz w:val="18"/>
                <w:szCs w:val="18"/>
                <w:highlight w:val="none"/>
              </w:rPr>
              <w:t>总</w:t>
            </w:r>
            <w:r>
              <w:rPr>
                <w:rFonts w:ascii="仿宋_GB2312" w:hAnsi="宋体" w:eastAsia="仿宋_GB2312" w:cs="宋体"/>
                <w:kern w:val="0"/>
                <w:sz w:val="18"/>
                <w:szCs w:val="18"/>
                <w:highlight w:val="none"/>
              </w:rPr>
              <w:t xml:space="preserve">  </w:t>
            </w:r>
            <w:r>
              <w:rPr>
                <w:rFonts w:hint="eastAsia" w:ascii="仿宋_GB2312" w:hAnsi="宋体" w:eastAsia="仿宋_GB2312" w:cs="宋体"/>
                <w:kern w:val="0"/>
                <w:sz w:val="18"/>
                <w:szCs w:val="18"/>
                <w:highlight w:val="none"/>
              </w:rPr>
              <w:t>计</w:t>
            </w:r>
          </w:p>
        </w:tc>
        <w:tc>
          <w:tcPr>
            <w:tcW w:w="130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585.21</w:t>
            </w:r>
            <w:r>
              <w:rPr>
                <w:rFonts w:hint="eastAsia" w:ascii="仿宋_GB2312" w:hAnsi="宋体" w:eastAsia="仿宋_GB2312" w:cs="宋体"/>
                <w:color w:val="000000"/>
                <w:kern w:val="0"/>
                <w:sz w:val="18"/>
                <w:szCs w:val="18"/>
                <w:highlight w:val="none"/>
              </w:rPr>
              <w:t>　</w:t>
            </w:r>
          </w:p>
        </w:tc>
        <w:tc>
          <w:tcPr>
            <w:tcW w:w="259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支</w:t>
            </w:r>
            <w:r>
              <w:rPr>
                <w:rFonts w:ascii="仿宋_GB2312" w:hAnsi="宋体" w:eastAsia="仿宋_GB2312" w:cs="宋体"/>
                <w:kern w:val="0"/>
                <w:sz w:val="18"/>
                <w:szCs w:val="18"/>
                <w:highlight w:val="none"/>
              </w:rPr>
              <w:t xml:space="preserve">  </w:t>
            </w:r>
            <w:r>
              <w:rPr>
                <w:rFonts w:hint="eastAsia" w:ascii="仿宋_GB2312" w:hAnsi="宋体" w:eastAsia="仿宋_GB2312" w:cs="宋体"/>
                <w:kern w:val="0"/>
                <w:sz w:val="18"/>
                <w:szCs w:val="18"/>
                <w:highlight w:val="none"/>
              </w:rPr>
              <w:t>出</w:t>
            </w:r>
            <w:r>
              <w:rPr>
                <w:rFonts w:ascii="仿宋_GB2312" w:hAnsi="宋体" w:eastAsia="仿宋_GB2312" w:cs="宋体"/>
                <w:kern w:val="0"/>
                <w:sz w:val="18"/>
                <w:szCs w:val="18"/>
                <w:highlight w:val="none"/>
              </w:rPr>
              <w:t xml:space="preserve">  </w:t>
            </w:r>
            <w:r>
              <w:rPr>
                <w:rFonts w:hint="eastAsia" w:ascii="仿宋_GB2312" w:hAnsi="宋体" w:eastAsia="仿宋_GB2312" w:cs="宋体"/>
                <w:kern w:val="0"/>
                <w:sz w:val="18"/>
                <w:szCs w:val="18"/>
                <w:highlight w:val="none"/>
              </w:rPr>
              <w:t>总</w:t>
            </w:r>
            <w:r>
              <w:rPr>
                <w:rFonts w:ascii="仿宋_GB2312" w:hAnsi="宋体" w:eastAsia="仿宋_GB2312" w:cs="宋体"/>
                <w:kern w:val="0"/>
                <w:sz w:val="18"/>
                <w:szCs w:val="18"/>
                <w:highlight w:val="none"/>
              </w:rPr>
              <w:t xml:space="preserve">  </w:t>
            </w:r>
            <w:r>
              <w:rPr>
                <w:rFonts w:hint="eastAsia" w:ascii="仿宋_GB2312" w:hAnsi="宋体" w:eastAsia="仿宋_GB2312" w:cs="宋体"/>
                <w:kern w:val="0"/>
                <w:sz w:val="18"/>
                <w:szCs w:val="18"/>
                <w:highlight w:val="none"/>
              </w:rPr>
              <w:t>计</w:t>
            </w: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ascii="宋体" w:hAnsi="宋体" w:cs="宋体"/>
                <w:color w:val="000000"/>
                <w:kern w:val="0"/>
                <w:sz w:val="18"/>
                <w:szCs w:val="18"/>
                <w:highlight w:val="none"/>
              </w:rPr>
              <w:t>585.21</w:t>
            </w:r>
            <w:r>
              <w:rPr>
                <w:rFonts w:hint="eastAsia" w:ascii="宋体" w:hAnsi="宋体" w:cs="宋体"/>
                <w:color w:val="000000"/>
                <w:kern w:val="0"/>
                <w:sz w:val="18"/>
                <w:szCs w:val="18"/>
                <w:highlight w:val="none"/>
              </w:rPr>
              <w:t>　</w:t>
            </w:r>
          </w:p>
        </w:tc>
        <w:tc>
          <w:tcPr>
            <w:tcW w:w="76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ascii="宋体" w:hAnsi="宋体" w:cs="宋体"/>
                <w:color w:val="000000"/>
                <w:kern w:val="0"/>
                <w:sz w:val="18"/>
                <w:szCs w:val="18"/>
                <w:highlight w:val="none"/>
              </w:rPr>
              <w:t>585.21</w:t>
            </w:r>
            <w:r>
              <w:rPr>
                <w:rFonts w:hint="eastAsia" w:ascii="宋体" w:hAnsi="宋体" w:cs="宋体"/>
                <w:color w:val="000000"/>
                <w:kern w:val="0"/>
                <w:sz w:val="18"/>
                <w:szCs w:val="18"/>
                <w:highlight w:val="none"/>
              </w:rPr>
              <w:t>　</w:t>
            </w:r>
          </w:p>
        </w:tc>
        <w:tc>
          <w:tcPr>
            <w:tcW w:w="705"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highlight w:val="none"/>
              </w:rPr>
            </w:pPr>
            <w:r>
              <w:rPr>
                <w:rFonts w:hint="eastAsia" w:ascii="宋体" w:hAnsi="宋体" w:cs="宋体"/>
                <w:kern w:val="0"/>
                <w:sz w:val="18"/>
                <w:szCs w:val="18"/>
                <w:highlight w:val="none"/>
              </w:rPr>
              <w:t>　</w:t>
            </w:r>
          </w:p>
        </w:tc>
        <w:tc>
          <w:tcPr>
            <w:tcW w:w="6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highlight w:val="none"/>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1684"/>
        <w:gridCol w:w="216"/>
        <w:gridCol w:w="1626"/>
        <w:gridCol w:w="1701"/>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5887" w:type="dxa"/>
            <w:gridSpan w:val="6"/>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spacing w:val="-20"/>
                <w:kern w:val="0"/>
                <w:sz w:val="24"/>
              </w:rPr>
              <w:t>克</w:t>
            </w:r>
            <w:r>
              <w:rPr>
                <w:rFonts w:hint="eastAsia" w:ascii="仿宋_GB2312" w:hAnsi="宋体" w:eastAsia="仿宋_GB2312"/>
                <w:spacing w:val="-20"/>
                <w:kern w:val="0"/>
                <w:sz w:val="24"/>
              </w:rPr>
              <w:t>孜勒苏柯尔克孜自治州生态环境局</w:t>
            </w:r>
          </w:p>
        </w:tc>
        <w:tc>
          <w:tcPr>
            <w:tcW w:w="3327" w:type="dxa"/>
            <w:gridSpan w:val="2"/>
            <w:tcBorders>
              <w:top w:val="nil"/>
              <w:left w:val="nil"/>
              <w:bottom w:val="nil"/>
              <w:right w:val="nil"/>
            </w:tcBorders>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w:t>
            </w:r>
            <w:r>
              <w:rPr>
                <w:rFonts w:ascii="仿宋_GB2312" w:hAnsi="宋体" w:eastAsia="仿宋_GB2312" w:cs="宋体"/>
                <w:b/>
                <w:bCs/>
                <w:color w:val="000000"/>
                <w:kern w:val="0"/>
                <w:sz w:val="20"/>
                <w:szCs w:val="20"/>
              </w:rPr>
              <w:t xml:space="preserve">  </w:t>
            </w:r>
            <w:r>
              <w:rPr>
                <w:rFonts w:hint="eastAsia" w:ascii="仿宋_GB2312" w:hAnsi="宋体" w:eastAsia="仿宋_GB2312" w:cs="宋体"/>
                <w:b/>
                <w:bCs/>
                <w:color w:val="000000"/>
                <w:kern w:val="0"/>
                <w:sz w:val="20"/>
                <w:szCs w:val="20"/>
              </w:rPr>
              <w:t>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205</w:t>
            </w:r>
          </w:p>
        </w:tc>
        <w:tc>
          <w:tcPr>
            <w:tcW w:w="492" w:type="dxa"/>
            <w:tcBorders>
              <w:top w:val="nil"/>
              <w:left w:val="nil"/>
              <w:bottom w:val="single" w:color="auto" w:sz="4" w:space="0"/>
              <w:right w:val="single" w:color="auto" w:sz="4" w:space="0"/>
            </w:tcBorders>
            <w:vAlign w:val="center"/>
          </w:tcPr>
          <w:p>
            <w:pPr>
              <w:jc w:val="center"/>
              <w:rPr>
                <w:rFonts w:ascii="宋体" w:hAnsi="Times New Roman" w:eastAsia="宋体" w:cs="宋体"/>
                <w:b w:val="0"/>
                <w:bCs w:val="0"/>
                <w:color w:val="000000"/>
                <w:kern w:val="0"/>
                <w:sz w:val="18"/>
                <w:szCs w:val="18"/>
                <w:highlight w:val="none"/>
                <w:lang w:val="en-US" w:eastAsia="zh-CN" w:bidi="ar-SA"/>
              </w:rPr>
            </w:pPr>
          </w:p>
        </w:tc>
        <w:tc>
          <w:tcPr>
            <w:tcW w:w="417" w:type="dxa"/>
            <w:tcBorders>
              <w:top w:val="nil"/>
              <w:left w:val="nil"/>
              <w:bottom w:val="single" w:color="auto" w:sz="4" w:space="0"/>
              <w:right w:val="single" w:color="auto" w:sz="4" w:space="0"/>
            </w:tcBorders>
            <w:vAlign w:val="center"/>
          </w:tcPr>
          <w:p>
            <w:pPr>
              <w:jc w:val="center"/>
              <w:rPr>
                <w:rFonts w:ascii="宋体" w:hAnsi="Times New Roman" w:eastAsia="宋体" w:cs="宋体"/>
                <w:b w:val="0"/>
                <w:bCs w:val="0"/>
                <w:color w:val="000000"/>
                <w:kern w:val="0"/>
                <w:sz w:val="18"/>
                <w:szCs w:val="18"/>
                <w:highlight w:val="none"/>
                <w:lang w:val="en-US" w:eastAsia="zh-CN" w:bidi="ar-SA"/>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教育支出</w:t>
            </w:r>
          </w:p>
        </w:tc>
        <w:tc>
          <w:tcPr>
            <w:tcW w:w="1684"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5.20</w:t>
            </w:r>
          </w:p>
        </w:tc>
        <w:tc>
          <w:tcPr>
            <w:tcW w:w="1842"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5.20</w:t>
            </w:r>
          </w:p>
        </w:tc>
        <w:tc>
          <w:tcPr>
            <w:tcW w:w="1701"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8"/>
                <w:szCs w:val="18"/>
                <w:highlight w:val="yellow"/>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205</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02</w:t>
            </w:r>
          </w:p>
        </w:tc>
        <w:tc>
          <w:tcPr>
            <w:tcW w:w="417" w:type="dxa"/>
            <w:tcBorders>
              <w:top w:val="nil"/>
              <w:left w:val="nil"/>
              <w:bottom w:val="single" w:color="auto" w:sz="4" w:space="0"/>
              <w:right w:val="single" w:color="auto" w:sz="4" w:space="0"/>
            </w:tcBorders>
            <w:vAlign w:val="center"/>
          </w:tcPr>
          <w:p>
            <w:pPr>
              <w:jc w:val="center"/>
              <w:rPr>
                <w:rFonts w:ascii="宋体" w:hAnsi="Times New Roman" w:eastAsia="宋体" w:cs="宋体"/>
                <w:b w:val="0"/>
                <w:bCs w:val="0"/>
                <w:color w:val="000000"/>
                <w:kern w:val="0"/>
                <w:sz w:val="18"/>
                <w:szCs w:val="18"/>
                <w:highlight w:val="none"/>
                <w:lang w:val="en-US" w:eastAsia="zh-CN" w:bidi="ar-SA"/>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普通教育</w:t>
            </w:r>
          </w:p>
        </w:tc>
        <w:tc>
          <w:tcPr>
            <w:tcW w:w="1684"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5.20</w:t>
            </w:r>
          </w:p>
        </w:tc>
        <w:tc>
          <w:tcPr>
            <w:tcW w:w="1842"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5.20</w:t>
            </w:r>
          </w:p>
        </w:tc>
        <w:tc>
          <w:tcPr>
            <w:tcW w:w="1701" w:type="dxa"/>
            <w:tcBorders>
              <w:top w:val="nil"/>
              <w:left w:val="nil"/>
              <w:bottom w:val="single" w:color="auto" w:sz="4" w:space="0"/>
              <w:right w:val="single" w:color="auto" w:sz="4" w:space="0"/>
            </w:tcBorders>
            <w:vAlign w:val="center"/>
          </w:tcPr>
          <w:p>
            <w:pPr>
              <w:widowControl/>
              <w:jc w:val="left"/>
              <w:rPr>
                <w:rFonts w:ascii="宋体" w:hAnsi="Times New Roman" w:eastAsia="宋体" w:cs="宋体"/>
                <w:b/>
                <w:color w:val="000000"/>
                <w:kern w:val="0"/>
                <w:sz w:val="18"/>
                <w:szCs w:val="18"/>
                <w:highlight w:val="yellow"/>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205</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02</w:t>
            </w:r>
          </w:p>
        </w:tc>
        <w:tc>
          <w:tcPr>
            <w:tcW w:w="4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01</w:t>
            </w: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学前教育</w:t>
            </w:r>
          </w:p>
        </w:tc>
        <w:tc>
          <w:tcPr>
            <w:tcW w:w="1684"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5.20</w:t>
            </w:r>
          </w:p>
        </w:tc>
        <w:tc>
          <w:tcPr>
            <w:tcW w:w="1842"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5.20</w:t>
            </w:r>
          </w:p>
        </w:tc>
        <w:tc>
          <w:tcPr>
            <w:tcW w:w="1701"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8"/>
                <w:szCs w:val="18"/>
                <w:highlight w:val="yellow"/>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b w:val="0"/>
                <w:bCs w:val="0"/>
                <w:i w:val="0"/>
                <w:color w:val="000000"/>
                <w:kern w:val="0"/>
                <w:sz w:val="18"/>
                <w:szCs w:val="18"/>
                <w:highlight w:val="none"/>
                <w:u w:val="none"/>
                <w:lang w:val="en-US" w:eastAsia="zh-CN" w:bidi="ar"/>
              </w:rPr>
              <w:t>211</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highlight w:val="none"/>
                <w:lang w:val="en-US" w:eastAsia="zh-CN" w:bidi="ar-SA"/>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cs="宋体"/>
                <w:b w:val="0"/>
                <w:bCs w:val="0"/>
                <w:color w:val="000000"/>
                <w:kern w:val="0"/>
                <w:sz w:val="18"/>
                <w:szCs w:val="18"/>
                <w:highlight w:val="none"/>
              </w:rPr>
              <w:t>节能环保支出</w:t>
            </w:r>
          </w:p>
        </w:tc>
        <w:tc>
          <w:tcPr>
            <w:tcW w:w="1684"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580.01</w:t>
            </w:r>
          </w:p>
        </w:tc>
        <w:tc>
          <w:tcPr>
            <w:tcW w:w="1842"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000000"/>
                <w:kern w:val="2"/>
                <w:sz w:val="18"/>
                <w:szCs w:val="18"/>
                <w:highlight w:val="none"/>
                <w:lang w:val="en-US" w:eastAsia="zh-CN" w:bidi="ar-SA"/>
              </w:rPr>
            </w:pPr>
            <w:r>
              <w:rPr>
                <w:rFonts w:hint="eastAsia" w:ascii="仿宋_GB2312" w:hAnsi="宋体" w:eastAsia="仿宋_GB2312" w:cs="宋体"/>
                <w:b w:val="0"/>
                <w:bCs w:val="0"/>
                <w:color w:val="000000"/>
                <w:kern w:val="2"/>
                <w:sz w:val="18"/>
                <w:szCs w:val="18"/>
                <w:highlight w:val="none"/>
                <w:lang w:val="en-US" w:eastAsia="zh-CN" w:bidi="ar-SA"/>
              </w:rPr>
              <w:t>502.01</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78.00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lang w:val="en-US" w:eastAsia="zh-CN" w:bidi="ar-SA"/>
              </w:rPr>
            </w:pPr>
            <w:r>
              <w:rPr>
                <w:rFonts w:hint="eastAsia" w:ascii="宋体" w:hAnsi="宋体" w:eastAsia="宋体" w:cs="宋体"/>
                <w:b w:val="0"/>
                <w:bCs w:val="0"/>
                <w:i w:val="0"/>
                <w:color w:val="000000"/>
                <w:kern w:val="0"/>
                <w:sz w:val="18"/>
                <w:szCs w:val="18"/>
                <w:u w:val="none"/>
                <w:lang w:val="en-US" w:eastAsia="zh-CN" w:bidi="ar"/>
              </w:rPr>
              <w:t>211</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Times New Roman" w:eastAsia="宋体" w:cs="宋体"/>
                <w:b w:val="0"/>
                <w:bCs w:val="0"/>
                <w:color w:val="000000"/>
                <w:kern w:val="0"/>
                <w:sz w:val="18"/>
                <w:szCs w:val="18"/>
                <w:lang w:val="en-US" w:eastAsia="zh-CN" w:bidi="ar-SA"/>
              </w:rPr>
            </w:pPr>
            <w:r>
              <w:rPr>
                <w:rFonts w:hint="eastAsia" w:ascii="宋体" w:cs="宋体"/>
                <w:b w:val="0"/>
                <w:bCs w:val="0"/>
                <w:color w:val="000000"/>
                <w:kern w:val="0"/>
                <w:sz w:val="18"/>
                <w:szCs w:val="18"/>
                <w:lang w:val="en-US" w:eastAsia="zh-CN" w:bidi="ar-SA"/>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lang w:val="en-US" w:eastAsia="zh-CN" w:bidi="ar-SA"/>
              </w:rPr>
            </w:pPr>
            <w:r>
              <w:rPr>
                <w:rFonts w:hint="eastAsia" w:ascii="宋体" w:hAnsi="Times New Roman" w:eastAsia="宋体" w:cs="宋体"/>
                <w:b w:val="0"/>
                <w:bCs w:val="0"/>
                <w:color w:val="000000"/>
                <w:kern w:val="0"/>
                <w:sz w:val="18"/>
                <w:szCs w:val="18"/>
                <w:lang w:val="en-US" w:eastAsia="zh-CN" w:bidi="ar-SA"/>
              </w:rPr>
              <w:t>环境保护管理事务</w:t>
            </w:r>
          </w:p>
        </w:tc>
        <w:tc>
          <w:tcPr>
            <w:tcW w:w="1684"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val="en-US" w:eastAsia="zh-CN"/>
              </w:rPr>
              <w:t>580.01</w:t>
            </w:r>
            <w:r>
              <w:rPr>
                <w:rFonts w:hint="eastAsia" w:ascii="仿宋_GB2312" w:eastAsia="仿宋_GB2312"/>
                <w:color w:val="000000"/>
                <w:sz w:val="18"/>
                <w:szCs w:val="18"/>
              </w:rPr>
              <w:t>　</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val="en-US" w:eastAsia="zh-CN"/>
              </w:rPr>
              <w:t>502.01</w:t>
            </w:r>
            <w:r>
              <w:rPr>
                <w:rFonts w:hint="eastAsia" w:ascii="仿宋_GB2312" w:eastAsia="仿宋_GB2312"/>
                <w:color w:val="000000"/>
                <w:sz w:val="18"/>
                <w:szCs w:val="18"/>
              </w:rPr>
              <w:t>　</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Times New Roman" w:eastAsia="宋体" w:cs="宋体"/>
                <w:color w:val="000000"/>
                <w:kern w:val="0"/>
                <w:sz w:val="18"/>
                <w:szCs w:val="18"/>
                <w:lang w:val="en-US" w:eastAsia="zh-CN" w:bidi="ar-SA"/>
              </w:rPr>
            </w:pPr>
            <w:r>
              <w:rPr>
                <w:rFonts w:hint="eastAsia" w:ascii="宋体" w:cs="宋体"/>
                <w:color w:val="000000"/>
                <w:kern w:val="0"/>
                <w:sz w:val="18"/>
                <w:szCs w:val="18"/>
                <w:lang w:val="en-US" w:eastAsia="zh-CN" w:bidi="ar-SA"/>
              </w:rPr>
              <w:t>78.00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lang w:val="en-US" w:eastAsia="zh-CN" w:bidi="ar-SA"/>
              </w:rPr>
            </w:pPr>
            <w:r>
              <w:rPr>
                <w:rFonts w:hint="eastAsia" w:ascii="宋体" w:hAnsi="宋体" w:eastAsia="宋体" w:cs="宋体"/>
                <w:b w:val="0"/>
                <w:bCs w:val="0"/>
                <w:i w:val="0"/>
                <w:color w:val="000000"/>
                <w:kern w:val="0"/>
                <w:sz w:val="18"/>
                <w:szCs w:val="18"/>
                <w:u w:val="none"/>
                <w:lang w:val="en-US" w:eastAsia="zh-CN" w:bidi="ar"/>
              </w:rPr>
              <w:t>211</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Times New Roman" w:eastAsia="宋体" w:cs="宋体"/>
                <w:b w:val="0"/>
                <w:bCs w:val="0"/>
                <w:color w:val="000000"/>
                <w:kern w:val="0"/>
                <w:sz w:val="18"/>
                <w:szCs w:val="18"/>
                <w:lang w:val="en-US" w:eastAsia="zh-CN" w:bidi="ar-SA"/>
              </w:rPr>
            </w:pPr>
            <w:r>
              <w:rPr>
                <w:rFonts w:hint="eastAsia" w:ascii="宋体" w:cs="宋体"/>
                <w:b w:val="0"/>
                <w:bCs w:val="0"/>
                <w:color w:val="000000"/>
                <w:kern w:val="0"/>
                <w:sz w:val="18"/>
                <w:szCs w:val="18"/>
                <w:lang w:val="en-US" w:eastAsia="zh-CN"/>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lang w:val="en-US" w:eastAsia="zh-CN" w:bidi="ar-SA"/>
              </w:rPr>
            </w:pPr>
            <w:r>
              <w:rPr>
                <w:rFonts w:hint="eastAsia" w:ascii="宋体" w:hAnsi="宋体" w:cs="宋体"/>
                <w:b w:val="0"/>
                <w:bCs w:val="0"/>
                <w:color w:val="000000"/>
                <w:kern w:val="0"/>
                <w:sz w:val="18"/>
                <w:szCs w:val="18"/>
                <w:lang w:val="en-US" w:eastAsia="zh-CN"/>
              </w:rPr>
              <w:t>99</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lang w:val="en-US" w:eastAsia="zh-CN" w:bidi="ar-SA"/>
              </w:rPr>
            </w:pPr>
            <w:r>
              <w:rPr>
                <w:rFonts w:hint="eastAsia" w:ascii="宋体" w:hAnsi="宋体" w:cs="宋体"/>
                <w:b w:val="0"/>
                <w:bCs w:val="0"/>
                <w:color w:val="000000"/>
                <w:kern w:val="0"/>
                <w:sz w:val="18"/>
                <w:szCs w:val="18"/>
              </w:rPr>
              <w:t>其他环境保护管理事务支出</w:t>
            </w:r>
          </w:p>
        </w:tc>
        <w:tc>
          <w:tcPr>
            <w:tcW w:w="1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lang w:val="en-US" w:eastAsia="zh-CN"/>
              </w:rPr>
              <w:t>78.00</w:t>
            </w:r>
            <w:r>
              <w:rPr>
                <w:rFonts w:hint="eastAsia" w:ascii="仿宋_GB2312" w:eastAsia="仿宋_GB2312"/>
                <w:color w:val="000000"/>
                <w:sz w:val="18"/>
                <w:szCs w:val="18"/>
              </w:rPr>
              <w:t>　</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eastAsia="仿宋_GB2312"/>
                <w:color w:val="000000"/>
                <w:sz w:val="18"/>
                <w:szCs w:val="18"/>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仿宋_GB2312" w:eastAsia="仿宋_GB2312"/>
                <w:color w:val="000000"/>
                <w:sz w:val="18"/>
                <w:szCs w:val="18"/>
                <w:lang w:val="en-US" w:eastAsia="zh-CN"/>
              </w:rPr>
              <w:t>78.00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宋体"/>
                <w:b w:val="0"/>
                <w:bCs w:val="0"/>
                <w:color w:val="000000"/>
                <w:kern w:val="0"/>
                <w:sz w:val="18"/>
                <w:szCs w:val="18"/>
                <w:highlight w:val="none"/>
                <w:lang w:val="en-US" w:eastAsia="zh-CN" w:bidi="ar-SA"/>
              </w:rPr>
            </w:pPr>
            <w:r>
              <w:rPr>
                <w:rFonts w:hint="eastAsia" w:ascii="宋体" w:hAnsi="宋体" w:eastAsia="宋体" w:cs="宋体"/>
                <w:b w:val="0"/>
                <w:bCs w:val="0"/>
                <w:i w:val="0"/>
                <w:color w:val="000000"/>
                <w:kern w:val="0"/>
                <w:sz w:val="18"/>
                <w:szCs w:val="18"/>
                <w:highlight w:val="none"/>
                <w:u w:val="none"/>
                <w:lang w:val="en-US" w:eastAsia="zh-CN" w:bidi="ar"/>
              </w:rPr>
              <w:t>211</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01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Times New Roman" w:eastAsia="宋体" w:cs="宋体"/>
                <w:b w:val="0"/>
                <w:bCs w:val="0"/>
                <w:color w:val="000000"/>
                <w:kern w:val="0"/>
                <w:sz w:val="18"/>
                <w:szCs w:val="18"/>
                <w:highlight w:val="none"/>
                <w:lang w:val="en-US" w:eastAsia="zh-CN" w:bidi="ar-SA"/>
              </w:rPr>
            </w:pPr>
            <w:r>
              <w:rPr>
                <w:rFonts w:hint="eastAsia" w:ascii="宋体" w:cs="宋体"/>
                <w:b w:val="0"/>
                <w:bCs w:val="0"/>
                <w:color w:val="000000"/>
                <w:kern w:val="0"/>
                <w:sz w:val="18"/>
                <w:szCs w:val="18"/>
                <w:highlight w:val="none"/>
                <w:lang w:val="en-US" w:eastAsia="zh-CN" w:bidi="ar-SA"/>
              </w:rPr>
              <w:t>01</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宋体" w:hAnsi="Times New Roman" w:eastAsia="宋体" w:cs="宋体"/>
                <w:b w:val="0"/>
                <w:bCs w:val="0"/>
                <w:color w:val="000000"/>
                <w:kern w:val="0"/>
                <w:sz w:val="18"/>
                <w:szCs w:val="18"/>
                <w:highlight w:val="none"/>
                <w:lang w:val="en-US" w:eastAsia="zh-CN" w:bidi="ar-SA"/>
              </w:rPr>
            </w:pPr>
            <w:r>
              <w:rPr>
                <w:rFonts w:hint="eastAsia" w:ascii="宋体" w:hAnsi="Times New Roman" w:eastAsia="宋体" w:cs="宋体"/>
                <w:b w:val="0"/>
                <w:bCs w:val="0"/>
                <w:color w:val="000000"/>
                <w:kern w:val="0"/>
                <w:sz w:val="18"/>
                <w:szCs w:val="18"/>
                <w:highlight w:val="none"/>
                <w:lang w:val="en-US" w:eastAsia="zh-CN" w:bidi="ar-SA"/>
              </w:rPr>
              <w:t>行政运行（环境保护管理事务）</w:t>
            </w:r>
          </w:p>
        </w:tc>
        <w:tc>
          <w:tcPr>
            <w:tcW w:w="1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r>
              <w:rPr>
                <w:rFonts w:hint="eastAsia" w:ascii="仿宋_GB2312" w:eastAsia="仿宋_GB2312"/>
                <w:color w:val="000000"/>
                <w:sz w:val="18"/>
                <w:szCs w:val="18"/>
                <w:highlight w:val="none"/>
                <w:lang w:val="en-US" w:eastAsia="zh-CN"/>
              </w:rPr>
              <w:t>502.01</w:t>
            </w:r>
            <w:r>
              <w:rPr>
                <w:rFonts w:hint="eastAsia" w:ascii="仿宋_GB2312" w:eastAsia="仿宋_GB2312"/>
                <w:color w:val="000000"/>
                <w:sz w:val="18"/>
                <w:szCs w:val="18"/>
                <w:highlight w:val="none"/>
              </w:rPr>
              <w:t>　</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highlight w:val="none"/>
                <w:lang w:val="en-US" w:eastAsia="zh-CN" w:bidi="ar-SA"/>
              </w:rPr>
            </w:pPr>
            <w:r>
              <w:rPr>
                <w:rFonts w:hint="eastAsia" w:ascii="仿宋_GB2312" w:eastAsia="仿宋_GB2312"/>
                <w:color w:val="000000"/>
                <w:sz w:val="18"/>
                <w:szCs w:val="18"/>
                <w:highlight w:val="none"/>
                <w:lang w:val="en-US" w:eastAsia="zh-CN"/>
              </w:rPr>
              <w:t>502.01</w:t>
            </w:r>
            <w:r>
              <w:rPr>
                <w:rFonts w:hint="eastAsia" w:ascii="仿宋_GB2312" w:eastAsia="仿宋_GB2312"/>
                <w:color w:val="000000"/>
                <w:sz w:val="18"/>
                <w:szCs w:val="18"/>
                <w:highlight w:val="none"/>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highlight w:val="yellow"/>
                <w:lang w:val="en-US" w:eastAsia="zh-CN" w:bidi="ar-SA"/>
              </w:rPr>
            </w:pPr>
          </w:p>
        </w:tc>
        <w:tc>
          <w:tcPr>
            <w:tcW w:w="492"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highlight w:val="yellow"/>
                <w:lang w:val="en-US" w:eastAsia="zh-CN" w:bidi="ar-SA"/>
              </w:rPr>
            </w:pPr>
          </w:p>
        </w:tc>
        <w:tc>
          <w:tcPr>
            <w:tcW w:w="41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highlight w:val="yellow"/>
                <w:lang w:val="en-US" w:eastAsia="zh-CN" w:bidi="ar-SA"/>
              </w:rPr>
            </w:pPr>
          </w:p>
        </w:tc>
        <w:tc>
          <w:tcPr>
            <w:tcW w:w="251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8"/>
                <w:szCs w:val="18"/>
                <w:highlight w:val="yellow"/>
                <w:lang w:val="en-US" w:eastAsia="zh-CN" w:bidi="ar-SA"/>
              </w:rPr>
            </w:pPr>
          </w:p>
        </w:tc>
        <w:tc>
          <w:tcPr>
            <w:tcW w:w="1684"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8"/>
                <w:szCs w:val="18"/>
                <w:highlight w:val="yellow"/>
                <w:lang w:val="en-US" w:eastAsia="zh-CN" w:bidi="ar-SA"/>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8"/>
                <w:szCs w:val="18"/>
                <w:highlight w:val="yellow"/>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8"/>
                <w:szCs w:val="18"/>
                <w:highlight w:val="yellow"/>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highlight w:val="yellow"/>
                <w:lang w:val="en-US" w:eastAsia="zh-CN" w:bidi="ar-SA"/>
              </w:rPr>
            </w:pPr>
          </w:p>
        </w:tc>
        <w:tc>
          <w:tcPr>
            <w:tcW w:w="492"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highlight w:val="yellow"/>
                <w:lang w:val="en-US" w:eastAsia="zh-CN" w:bidi="ar-SA"/>
              </w:rPr>
            </w:pPr>
          </w:p>
        </w:tc>
        <w:tc>
          <w:tcPr>
            <w:tcW w:w="41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highlight w:val="yellow"/>
                <w:lang w:val="en-US" w:eastAsia="zh-CN" w:bidi="ar-SA"/>
              </w:rPr>
            </w:pPr>
          </w:p>
        </w:tc>
        <w:tc>
          <w:tcPr>
            <w:tcW w:w="251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8"/>
                <w:szCs w:val="18"/>
                <w:highlight w:val="yellow"/>
                <w:lang w:val="en-US" w:eastAsia="zh-CN" w:bidi="ar-SA"/>
              </w:rPr>
            </w:pPr>
          </w:p>
        </w:tc>
        <w:tc>
          <w:tcPr>
            <w:tcW w:w="1684" w:type="dxa"/>
            <w:tcBorders>
              <w:top w:val="nil"/>
              <w:left w:val="nil"/>
              <w:bottom w:val="single" w:color="auto" w:sz="4" w:space="0"/>
              <w:right w:val="single" w:color="auto" w:sz="4" w:space="0"/>
            </w:tcBorders>
            <w:vAlign w:val="center"/>
          </w:tcPr>
          <w:p>
            <w:pPr>
              <w:widowControl/>
              <w:jc w:val="left"/>
              <w:rPr>
                <w:rFonts w:hint="default" w:ascii="宋体" w:hAnsi="Times New Roman" w:eastAsia="宋体" w:cs="宋体"/>
                <w:color w:val="000000"/>
                <w:kern w:val="0"/>
                <w:sz w:val="18"/>
                <w:szCs w:val="18"/>
                <w:highlight w:val="yellow"/>
                <w:lang w:val="en-US" w:eastAsia="zh-CN" w:bidi="ar-SA"/>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8"/>
                <w:szCs w:val="18"/>
                <w:highlight w:val="yellow"/>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Times New Roman" w:eastAsia="宋体" w:cs="宋体"/>
                <w:b/>
                <w:color w:val="000000"/>
                <w:kern w:val="0"/>
                <w:sz w:val="18"/>
                <w:szCs w:val="18"/>
                <w:highlight w:val="yellow"/>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highlight w:val="yellow"/>
                <w:lang w:val="en-US" w:eastAsia="zh-CN" w:bidi="ar-SA"/>
              </w:rPr>
            </w:pPr>
          </w:p>
        </w:tc>
        <w:tc>
          <w:tcPr>
            <w:tcW w:w="492"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highlight w:val="yellow"/>
                <w:lang w:val="en-US" w:eastAsia="zh-CN" w:bidi="ar-SA"/>
              </w:rPr>
            </w:pPr>
          </w:p>
        </w:tc>
        <w:tc>
          <w:tcPr>
            <w:tcW w:w="41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highlight w:val="yellow"/>
                <w:lang w:val="en-US" w:eastAsia="zh-CN" w:bidi="ar-SA"/>
              </w:rPr>
            </w:pPr>
          </w:p>
        </w:tc>
        <w:tc>
          <w:tcPr>
            <w:tcW w:w="251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8"/>
                <w:szCs w:val="18"/>
                <w:highlight w:val="yellow"/>
                <w:lang w:val="en-US" w:eastAsia="zh-CN" w:bidi="ar-SA"/>
              </w:rPr>
            </w:pPr>
          </w:p>
        </w:tc>
        <w:tc>
          <w:tcPr>
            <w:tcW w:w="1684" w:type="dxa"/>
            <w:tcBorders>
              <w:top w:val="nil"/>
              <w:left w:val="nil"/>
              <w:bottom w:val="single" w:color="auto" w:sz="4" w:space="0"/>
              <w:right w:val="single" w:color="auto" w:sz="4" w:space="0"/>
            </w:tcBorders>
            <w:vAlign w:val="center"/>
          </w:tcPr>
          <w:p>
            <w:pPr>
              <w:widowControl/>
              <w:jc w:val="left"/>
              <w:rPr>
                <w:rFonts w:hint="default" w:ascii="宋体" w:hAnsi="Times New Roman" w:eastAsia="宋体" w:cs="宋体"/>
                <w:color w:val="000000"/>
                <w:kern w:val="0"/>
                <w:sz w:val="18"/>
                <w:szCs w:val="18"/>
                <w:highlight w:val="yellow"/>
                <w:lang w:val="en-US" w:eastAsia="zh-CN" w:bidi="ar-SA"/>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8"/>
                <w:szCs w:val="18"/>
                <w:highlight w:val="yellow"/>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8"/>
                <w:szCs w:val="18"/>
                <w:highlight w:val="yellow"/>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b/>
                <w:bCs/>
                <w:color w:val="000000"/>
                <w:kern w:val="0"/>
                <w:sz w:val="20"/>
                <w:szCs w:val="20"/>
              </w:rPr>
              <w:t>合</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6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585.21</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cs="宋体"/>
                <w:color w:val="000000"/>
                <w:kern w:val="0"/>
                <w:sz w:val="20"/>
                <w:szCs w:val="20"/>
              </w:rPr>
              <w:t>507.21</w:t>
            </w:r>
          </w:p>
        </w:tc>
        <w:tc>
          <w:tcPr>
            <w:tcW w:w="1701" w:type="dxa"/>
            <w:tcBorders>
              <w:top w:val="nil"/>
              <w:left w:val="nil"/>
              <w:bottom w:val="single" w:color="auto" w:sz="4" w:space="0"/>
              <w:right w:val="single" w:color="auto" w:sz="4" w:space="0"/>
            </w:tcBorders>
            <w:vAlign w:val="center"/>
          </w:tcPr>
          <w:p>
            <w:pPr>
              <w:widowControl/>
              <w:jc w:val="left"/>
              <w:rPr>
                <w:rFonts w:hint="default" w:ascii="宋体" w:eastAsia="宋体" w:cs="宋体"/>
                <w:color w:val="000000"/>
                <w:kern w:val="0"/>
                <w:sz w:val="20"/>
                <w:szCs w:val="20"/>
                <w:lang w:val="en-US" w:eastAsia="zh-CN"/>
              </w:rPr>
            </w:pPr>
            <w:r>
              <w:rPr>
                <w:rFonts w:ascii="宋体" w:cs="宋体"/>
                <w:color w:val="000000"/>
                <w:kern w:val="0"/>
                <w:sz w:val="20"/>
                <w:szCs w:val="20"/>
              </w:rPr>
              <w:t>78</w:t>
            </w:r>
            <w:r>
              <w:rPr>
                <w:rFonts w:hint="eastAsia" w:ascii="宋体" w:cs="宋体"/>
                <w:color w:val="000000"/>
                <w:kern w:val="0"/>
                <w:sz w:val="20"/>
                <w:szCs w:val="20"/>
                <w:lang w:val="en-US" w:eastAsia="zh-CN"/>
              </w:rPr>
              <w:t>.00</w:t>
            </w: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1701"/>
        <w:gridCol w:w="976"/>
        <w:gridCol w:w="725"/>
        <w:gridCol w:w="1701"/>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spacing w:val="-20"/>
                <w:kern w:val="0"/>
                <w:sz w:val="24"/>
              </w:rPr>
              <w:t>克</w:t>
            </w:r>
            <w:r>
              <w:rPr>
                <w:rFonts w:hint="eastAsia" w:ascii="仿宋_GB2312" w:hAnsi="宋体" w:eastAsia="仿宋_GB2312"/>
                <w:spacing w:val="-20"/>
                <w:kern w:val="0"/>
                <w:sz w:val="24"/>
              </w:rPr>
              <w:t>孜勒苏柯尔克孜自治州生态环境局</w:t>
            </w: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w:t>
            </w:r>
            <w:r>
              <w:rPr>
                <w:rFonts w:ascii="仿宋_GB2312" w:hAnsi="宋体" w:eastAsia="仿宋_GB2312" w:cs="宋体"/>
                <w:b/>
                <w:bCs/>
                <w:color w:val="000000"/>
                <w:kern w:val="0"/>
                <w:szCs w:val="21"/>
              </w:rPr>
              <w:t xml:space="preserve">  </w:t>
            </w:r>
            <w:r>
              <w:rPr>
                <w:rFonts w:hint="eastAsia" w:ascii="仿宋_GB2312" w:hAnsi="宋体" w:eastAsia="仿宋_GB2312" w:cs="宋体"/>
                <w:b/>
                <w:bCs/>
                <w:color w:val="000000"/>
                <w:kern w:val="0"/>
                <w:szCs w:val="21"/>
              </w:rPr>
              <w:t>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印刷费</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2.00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2.00</w:t>
            </w: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ind w:right="100"/>
              <w:jc w:val="center"/>
              <w:rPr>
                <w:rFonts w:ascii="宋体" w:hAns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42</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办公用品及设备采购</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取暖费</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3.33</w:t>
            </w:r>
          </w:p>
        </w:tc>
        <w:tc>
          <w:tcPr>
            <w:tcW w:w="1701" w:type="dxa"/>
            <w:gridSpan w:val="2"/>
            <w:tcBorders>
              <w:top w:val="nil"/>
              <w:left w:val="nil"/>
              <w:bottom w:val="single" w:color="auto" w:sz="4" w:space="0"/>
              <w:right w:val="single" w:color="auto" w:sz="4" w:space="0"/>
            </w:tcBorders>
            <w:vAlign w:val="center"/>
          </w:tcPr>
          <w:p>
            <w:pPr>
              <w:widowControl/>
              <w:ind w:right="147" w:rightChars="70"/>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3.33</w:t>
            </w: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福利费</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3.48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3.48</w:t>
            </w: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维修（护）费</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津贴补贴</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162.40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162.40</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差旅费</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3.00</w:t>
            </w: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17</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公务接待费</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3.00</w:t>
            </w: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其他对个人和家庭的补助</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30.24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30.24</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其他对个人和家庭的补助</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5.20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5.20</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基本工资</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138.94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138.94</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05</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水费</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31</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公务用车运行维护费</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住房公积金</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31.86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31.86</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退休费</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12.25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12.25</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06</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电费</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09</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物业管理费</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2.00</w:t>
            </w: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28</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工会经费</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1.94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1.94</w:t>
            </w: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31</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公务用车运行维护费</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8.00</w:t>
            </w: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05</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生活补助</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0.44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0.44</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奖金</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18.36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18.36</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44.39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44.39</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其他社会保障缴费</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29.49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29.49</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09</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奖励金</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办公费</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3.50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3.5</w:t>
            </w:r>
            <w:r>
              <w:rPr>
                <w:rFonts w:ascii="宋体" w:cs="宋体"/>
                <w:color w:val="000000"/>
                <w:kern w:val="0"/>
                <w:sz w:val="18"/>
                <w:szCs w:val="18"/>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b/>
                <w:bCs/>
                <w:color w:val="000000"/>
                <w:kern w:val="0"/>
                <w:sz w:val="18"/>
                <w:szCs w:val="18"/>
              </w:rPr>
              <w:t>合</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计</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507.21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474.96</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32.25</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528"/>
        <w:gridCol w:w="450"/>
        <w:gridCol w:w="495"/>
        <w:gridCol w:w="915"/>
        <w:gridCol w:w="1054"/>
        <w:gridCol w:w="731"/>
        <w:gridCol w:w="547"/>
        <w:gridCol w:w="698"/>
        <w:gridCol w:w="580"/>
        <w:gridCol w:w="651"/>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7027" w:type="dxa"/>
            <w:gridSpan w:val="11"/>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spacing w:val="-20"/>
                <w:kern w:val="0"/>
                <w:sz w:val="24"/>
              </w:rPr>
              <w:t>克</w:t>
            </w:r>
            <w:r>
              <w:rPr>
                <w:rFonts w:hint="eastAsia" w:ascii="仿宋_GB2312" w:hAnsi="宋体" w:eastAsia="仿宋_GB2312"/>
                <w:spacing w:val="-20"/>
                <w:kern w:val="0"/>
                <w:sz w:val="24"/>
              </w:rPr>
              <w:t>孜勒苏柯尔克孜自治州生态环境局</w:t>
            </w:r>
          </w:p>
        </w:tc>
        <w:tc>
          <w:tcPr>
            <w:tcW w:w="2426" w:type="dxa"/>
            <w:gridSpan w:val="6"/>
            <w:tcBorders>
              <w:top w:val="nil"/>
              <w:left w:val="nil"/>
              <w:bottom w:val="nil"/>
              <w:right w:val="nil"/>
            </w:tcBorders>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1" w:type="dxa"/>
            <w:gridSpan w:val="4"/>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915" w:type="dxa"/>
            <w:vMerge w:val="restart"/>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054" w:type="dxa"/>
            <w:vMerge w:val="restart"/>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3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4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9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58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36" w:type="dxa"/>
            <w:gridSpan w:val="2"/>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50" w:type="dxa"/>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95" w:type="dxa"/>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15" w:type="dxa"/>
            <w:vMerge w:val="continue"/>
            <w:vAlign w:val="center"/>
          </w:tcPr>
          <w:p>
            <w:pPr>
              <w:widowControl/>
              <w:jc w:val="left"/>
              <w:outlineLvl w:val="1"/>
              <w:rPr>
                <w:rFonts w:ascii="仿宋_GB2312" w:hAnsi="宋体" w:eastAsia="仿宋_GB2312"/>
                <w:b/>
                <w:kern w:val="0"/>
                <w:sz w:val="18"/>
                <w:szCs w:val="18"/>
              </w:rPr>
            </w:pPr>
          </w:p>
        </w:tc>
        <w:tc>
          <w:tcPr>
            <w:tcW w:w="1054" w:type="dxa"/>
            <w:vMerge w:val="continue"/>
          </w:tcPr>
          <w:p>
            <w:pPr>
              <w:widowControl/>
              <w:jc w:val="left"/>
              <w:outlineLvl w:val="1"/>
              <w:rPr>
                <w:rFonts w:ascii="仿宋_GB2312" w:hAnsi="宋体" w:eastAsia="仿宋_GB2312"/>
                <w:b/>
                <w:kern w:val="0"/>
                <w:sz w:val="18"/>
                <w:szCs w:val="18"/>
              </w:rPr>
            </w:pPr>
          </w:p>
        </w:tc>
        <w:tc>
          <w:tcPr>
            <w:tcW w:w="731" w:type="dxa"/>
            <w:vMerge w:val="continue"/>
          </w:tcPr>
          <w:p>
            <w:pPr>
              <w:widowControl/>
              <w:jc w:val="left"/>
              <w:outlineLvl w:val="1"/>
              <w:rPr>
                <w:rFonts w:ascii="仿宋_GB2312" w:hAnsi="宋体" w:eastAsia="仿宋_GB2312"/>
                <w:b/>
                <w:kern w:val="0"/>
                <w:sz w:val="18"/>
                <w:szCs w:val="18"/>
              </w:rPr>
            </w:pPr>
          </w:p>
        </w:tc>
        <w:tc>
          <w:tcPr>
            <w:tcW w:w="547" w:type="dxa"/>
            <w:vMerge w:val="continue"/>
          </w:tcPr>
          <w:p>
            <w:pPr>
              <w:widowControl/>
              <w:jc w:val="left"/>
              <w:outlineLvl w:val="1"/>
              <w:rPr>
                <w:rFonts w:ascii="仿宋_GB2312" w:hAnsi="宋体" w:eastAsia="仿宋_GB2312"/>
                <w:b/>
                <w:kern w:val="0"/>
                <w:sz w:val="18"/>
                <w:szCs w:val="18"/>
              </w:rPr>
            </w:pPr>
          </w:p>
        </w:tc>
        <w:tc>
          <w:tcPr>
            <w:tcW w:w="698" w:type="dxa"/>
            <w:vMerge w:val="continue"/>
          </w:tcPr>
          <w:p>
            <w:pPr>
              <w:widowControl/>
              <w:jc w:val="left"/>
              <w:outlineLvl w:val="1"/>
              <w:rPr>
                <w:rFonts w:ascii="仿宋_GB2312" w:hAnsi="宋体" w:eastAsia="仿宋_GB2312"/>
                <w:b/>
                <w:kern w:val="0"/>
                <w:sz w:val="18"/>
                <w:szCs w:val="18"/>
              </w:rPr>
            </w:pPr>
          </w:p>
        </w:tc>
        <w:tc>
          <w:tcPr>
            <w:tcW w:w="580" w:type="dxa"/>
            <w:vMerge w:val="continue"/>
          </w:tcPr>
          <w:p>
            <w:pPr>
              <w:widowControl/>
              <w:jc w:val="left"/>
              <w:outlineLvl w:val="1"/>
              <w:rPr>
                <w:rFonts w:ascii="仿宋_GB2312" w:hAnsi="宋体" w:eastAsia="仿宋_GB2312"/>
                <w:b/>
                <w:kern w:val="0"/>
                <w:sz w:val="18"/>
                <w:szCs w:val="18"/>
              </w:rPr>
            </w:pPr>
          </w:p>
        </w:tc>
        <w:tc>
          <w:tcPr>
            <w:tcW w:w="651" w:type="dxa"/>
            <w:vMerge w:val="continue"/>
          </w:tcPr>
          <w:p>
            <w:pPr>
              <w:widowControl/>
              <w:jc w:val="left"/>
              <w:outlineLvl w:val="1"/>
              <w:rPr>
                <w:rFonts w:ascii="仿宋_GB2312" w:hAnsi="宋体" w:eastAsia="仿宋_GB2312"/>
                <w:b/>
                <w:kern w:val="0"/>
                <w:sz w:val="18"/>
                <w:szCs w:val="18"/>
              </w:rPr>
            </w:pPr>
          </w:p>
        </w:tc>
        <w:tc>
          <w:tcPr>
            <w:tcW w:w="578" w:type="dxa"/>
            <w:gridSpan w:val="2"/>
            <w:vMerge w:val="continue"/>
          </w:tcPr>
          <w:p>
            <w:pPr>
              <w:widowControl/>
              <w:jc w:val="left"/>
              <w:outlineLvl w:val="1"/>
              <w:rPr>
                <w:rFonts w:ascii="仿宋_GB2312" w:hAnsi="宋体" w:eastAsia="仿宋_GB2312"/>
                <w:b/>
                <w:kern w:val="0"/>
                <w:sz w:val="18"/>
                <w:szCs w:val="18"/>
              </w:rPr>
            </w:pPr>
          </w:p>
        </w:tc>
        <w:tc>
          <w:tcPr>
            <w:tcW w:w="419" w:type="dxa"/>
            <w:vMerge w:val="continue"/>
          </w:tcPr>
          <w:p>
            <w:pPr>
              <w:widowControl/>
              <w:jc w:val="left"/>
              <w:outlineLvl w:val="1"/>
              <w:rPr>
                <w:rFonts w:ascii="仿宋_GB2312" w:hAnsi="宋体" w:eastAsia="仿宋_GB2312"/>
                <w:b/>
                <w:kern w:val="0"/>
                <w:sz w:val="18"/>
                <w:szCs w:val="18"/>
              </w:rPr>
            </w:pPr>
          </w:p>
        </w:tc>
        <w:tc>
          <w:tcPr>
            <w:tcW w:w="578"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468" w:type="dxa"/>
            <w:gridSpan w:val="2"/>
            <w:vMerge w:val="continue"/>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vAlign w:val="center"/>
          </w:tcPr>
          <w:p>
            <w:pPr>
              <w:keepNext w:val="0"/>
              <w:keepLines w:val="0"/>
              <w:widowControl/>
              <w:suppressLineNumbers w:val="0"/>
              <w:jc w:val="center"/>
              <w:textAlignment w:val="center"/>
              <w:rPr>
                <w:rFonts w:hint="eastAsia" w:ascii="宋体" w:hAnsi="宋体" w:eastAsia="宋体" w:cs="宋体"/>
                <w:kern w:val="0"/>
                <w:sz w:val="18"/>
                <w:szCs w:val="18"/>
                <w:highlight w:val="yellow"/>
              </w:rPr>
            </w:pPr>
            <w:r>
              <w:rPr>
                <w:rFonts w:hint="eastAsia" w:ascii="宋体" w:hAnsi="宋体" w:eastAsia="宋体" w:cs="宋体"/>
                <w:i w:val="0"/>
                <w:color w:val="000000"/>
                <w:kern w:val="0"/>
                <w:sz w:val="18"/>
                <w:szCs w:val="18"/>
                <w:u w:val="none"/>
                <w:lang w:val="en-US" w:eastAsia="zh-CN" w:bidi="ar"/>
              </w:rPr>
              <w:t>211</w:t>
            </w:r>
          </w:p>
        </w:tc>
        <w:tc>
          <w:tcPr>
            <w:tcW w:w="450" w:type="dxa"/>
            <w:vAlign w:val="center"/>
          </w:tcPr>
          <w:p>
            <w:pPr>
              <w:jc w:val="center"/>
              <w:rPr>
                <w:rFonts w:hint="eastAsia" w:ascii="宋体" w:hAnsi="宋体" w:eastAsia="宋体" w:cs="宋体"/>
                <w:kern w:val="0"/>
                <w:sz w:val="18"/>
                <w:szCs w:val="18"/>
                <w:highlight w:val="yellow"/>
              </w:rPr>
            </w:pPr>
          </w:p>
        </w:tc>
        <w:tc>
          <w:tcPr>
            <w:tcW w:w="495" w:type="dxa"/>
            <w:vAlign w:val="center"/>
          </w:tcPr>
          <w:p>
            <w:pPr>
              <w:jc w:val="center"/>
              <w:rPr>
                <w:rFonts w:hint="eastAsia" w:ascii="宋体" w:hAnsi="宋体" w:eastAsia="宋体" w:cs="宋体"/>
                <w:kern w:val="0"/>
                <w:sz w:val="18"/>
                <w:szCs w:val="18"/>
                <w:highlight w:val="yellow"/>
              </w:rPr>
            </w:pPr>
          </w:p>
        </w:tc>
        <w:tc>
          <w:tcPr>
            <w:tcW w:w="915" w:type="dxa"/>
            <w:vAlign w:val="center"/>
          </w:tcPr>
          <w:p>
            <w:pPr>
              <w:keepNext w:val="0"/>
              <w:keepLines w:val="0"/>
              <w:widowControl/>
              <w:suppressLineNumbers w:val="0"/>
              <w:jc w:val="left"/>
              <w:textAlignment w:val="center"/>
              <w:rPr>
                <w:rFonts w:hint="eastAsia" w:ascii="宋体" w:hAnsi="宋体" w:eastAsia="宋体" w:cs="宋体"/>
                <w:kern w:val="0"/>
                <w:sz w:val="18"/>
                <w:szCs w:val="18"/>
                <w:highlight w:val="yellow"/>
              </w:rPr>
            </w:pPr>
            <w:r>
              <w:rPr>
                <w:rFonts w:hint="eastAsia" w:ascii="宋体" w:hAnsi="宋体" w:eastAsia="宋体" w:cs="宋体"/>
                <w:i w:val="0"/>
                <w:color w:val="000000"/>
                <w:kern w:val="0"/>
                <w:sz w:val="18"/>
                <w:szCs w:val="18"/>
                <w:u w:val="none"/>
                <w:lang w:val="en-US" w:eastAsia="zh-CN" w:bidi="ar"/>
              </w:rPr>
              <w:t>节能环保支出</w:t>
            </w:r>
          </w:p>
        </w:tc>
        <w:tc>
          <w:tcPr>
            <w:tcW w:w="1054" w:type="dxa"/>
            <w:vAlign w:val="center"/>
          </w:tcPr>
          <w:p>
            <w:pPr>
              <w:widowControl/>
              <w:jc w:val="left"/>
              <w:outlineLvl w:val="1"/>
              <w:rPr>
                <w:rFonts w:hint="eastAsia" w:ascii="宋体" w:hAnsi="宋体" w:eastAsia="宋体" w:cs="宋体"/>
                <w:kern w:val="0"/>
                <w:sz w:val="18"/>
                <w:szCs w:val="18"/>
                <w:highlight w:val="yellow"/>
              </w:rPr>
            </w:pPr>
          </w:p>
        </w:tc>
        <w:tc>
          <w:tcPr>
            <w:tcW w:w="731" w:type="dxa"/>
            <w:vAlign w:val="center"/>
          </w:tcPr>
          <w:p>
            <w:pPr>
              <w:widowControl/>
              <w:jc w:val="left"/>
              <w:outlineLvl w:val="1"/>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78.00</w:t>
            </w:r>
          </w:p>
        </w:tc>
        <w:tc>
          <w:tcPr>
            <w:tcW w:w="547" w:type="dxa"/>
            <w:vAlign w:val="center"/>
          </w:tcPr>
          <w:p>
            <w:pPr>
              <w:widowControl/>
              <w:jc w:val="left"/>
              <w:outlineLvl w:val="1"/>
              <w:rPr>
                <w:rFonts w:hint="eastAsia" w:ascii="宋体" w:hAnsi="宋体" w:eastAsia="宋体" w:cs="宋体"/>
                <w:kern w:val="0"/>
                <w:sz w:val="18"/>
                <w:szCs w:val="18"/>
                <w:highlight w:val="none"/>
              </w:rPr>
            </w:pPr>
          </w:p>
        </w:tc>
        <w:tc>
          <w:tcPr>
            <w:tcW w:w="698" w:type="dxa"/>
            <w:vAlign w:val="center"/>
          </w:tcPr>
          <w:p>
            <w:pPr>
              <w:widowControl/>
              <w:jc w:val="center"/>
              <w:outlineLvl w:val="1"/>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71.00</w:t>
            </w:r>
          </w:p>
        </w:tc>
        <w:tc>
          <w:tcPr>
            <w:tcW w:w="580" w:type="dxa"/>
            <w:vAlign w:val="center"/>
          </w:tcPr>
          <w:p>
            <w:pPr>
              <w:widowControl/>
              <w:jc w:val="left"/>
              <w:outlineLvl w:val="1"/>
              <w:rPr>
                <w:rFonts w:hint="eastAsia" w:ascii="宋体" w:hAnsi="宋体" w:eastAsia="宋体" w:cs="宋体"/>
                <w:kern w:val="0"/>
                <w:sz w:val="16"/>
                <w:szCs w:val="16"/>
                <w:highlight w:val="none"/>
              </w:rPr>
            </w:pPr>
          </w:p>
        </w:tc>
        <w:tc>
          <w:tcPr>
            <w:tcW w:w="651" w:type="dxa"/>
          </w:tcPr>
          <w:p>
            <w:pPr>
              <w:widowControl/>
              <w:jc w:val="left"/>
              <w:outlineLvl w:val="1"/>
              <w:rPr>
                <w:rFonts w:ascii="仿宋_GB2312" w:hAnsi="宋体" w:eastAsia="仿宋_GB2312"/>
                <w:kern w:val="0"/>
                <w:sz w:val="16"/>
                <w:szCs w:val="16"/>
                <w:highlight w:val="yellow"/>
              </w:rPr>
            </w:pPr>
          </w:p>
        </w:tc>
        <w:tc>
          <w:tcPr>
            <w:tcW w:w="57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19"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78"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6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vAlign w:val="center"/>
          </w:tcPr>
          <w:p>
            <w:pPr>
              <w:keepNext w:val="0"/>
              <w:keepLines w:val="0"/>
              <w:widowControl/>
              <w:suppressLineNumbers w:val="0"/>
              <w:jc w:val="center"/>
              <w:textAlignment w:val="center"/>
              <w:rPr>
                <w:rFonts w:hint="eastAsia" w:ascii="宋体" w:hAnsi="宋体" w:eastAsia="宋体" w:cs="宋体"/>
                <w:kern w:val="0"/>
                <w:sz w:val="18"/>
                <w:szCs w:val="18"/>
                <w:highlight w:val="yellow"/>
              </w:rPr>
            </w:pPr>
            <w:r>
              <w:rPr>
                <w:rFonts w:hint="eastAsia" w:ascii="宋体" w:hAnsi="宋体" w:eastAsia="宋体" w:cs="宋体"/>
                <w:i w:val="0"/>
                <w:color w:val="000000"/>
                <w:kern w:val="0"/>
                <w:sz w:val="18"/>
                <w:szCs w:val="18"/>
                <w:u w:val="none"/>
                <w:lang w:val="en-US" w:eastAsia="zh-CN" w:bidi="ar"/>
              </w:rPr>
              <w:t>211</w:t>
            </w:r>
          </w:p>
        </w:tc>
        <w:tc>
          <w:tcPr>
            <w:tcW w:w="450" w:type="dxa"/>
            <w:vAlign w:val="center"/>
          </w:tcPr>
          <w:p>
            <w:pPr>
              <w:keepNext w:val="0"/>
              <w:keepLines w:val="0"/>
              <w:widowControl/>
              <w:suppressLineNumbers w:val="0"/>
              <w:jc w:val="center"/>
              <w:textAlignment w:val="center"/>
              <w:rPr>
                <w:rFonts w:hint="eastAsia" w:ascii="宋体" w:hAnsi="宋体" w:eastAsia="宋体" w:cs="宋体"/>
                <w:kern w:val="0"/>
                <w:sz w:val="18"/>
                <w:szCs w:val="18"/>
                <w:highlight w:val="yellow"/>
              </w:rPr>
            </w:pPr>
            <w:r>
              <w:rPr>
                <w:rFonts w:hint="eastAsia" w:ascii="宋体" w:hAnsi="宋体" w:eastAsia="宋体" w:cs="宋体"/>
                <w:i w:val="0"/>
                <w:color w:val="000000"/>
                <w:kern w:val="0"/>
                <w:sz w:val="18"/>
                <w:szCs w:val="18"/>
                <w:u w:val="none"/>
                <w:lang w:val="en-US" w:eastAsia="zh-CN" w:bidi="ar"/>
              </w:rPr>
              <w:t>01</w:t>
            </w:r>
          </w:p>
        </w:tc>
        <w:tc>
          <w:tcPr>
            <w:tcW w:w="495" w:type="dxa"/>
            <w:vAlign w:val="center"/>
          </w:tcPr>
          <w:p>
            <w:pPr>
              <w:jc w:val="center"/>
              <w:rPr>
                <w:rFonts w:hint="eastAsia" w:ascii="宋体" w:hAnsi="宋体" w:eastAsia="宋体" w:cs="宋体"/>
                <w:kern w:val="0"/>
                <w:sz w:val="18"/>
                <w:szCs w:val="18"/>
                <w:highlight w:val="yellow"/>
              </w:rPr>
            </w:pPr>
          </w:p>
        </w:tc>
        <w:tc>
          <w:tcPr>
            <w:tcW w:w="915" w:type="dxa"/>
            <w:vAlign w:val="center"/>
          </w:tcPr>
          <w:p>
            <w:pPr>
              <w:keepNext w:val="0"/>
              <w:keepLines w:val="0"/>
              <w:widowControl/>
              <w:suppressLineNumbers w:val="0"/>
              <w:jc w:val="left"/>
              <w:textAlignment w:val="center"/>
              <w:rPr>
                <w:rFonts w:hint="eastAsia" w:ascii="宋体" w:hAnsi="宋体" w:eastAsia="宋体" w:cs="宋体"/>
                <w:kern w:val="0"/>
                <w:sz w:val="18"/>
                <w:szCs w:val="18"/>
                <w:highlight w:val="yellow"/>
              </w:rPr>
            </w:pPr>
            <w:r>
              <w:rPr>
                <w:rFonts w:hint="eastAsia" w:ascii="宋体" w:hAnsi="宋体" w:eastAsia="宋体" w:cs="宋体"/>
                <w:i w:val="0"/>
                <w:color w:val="000000"/>
                <w:kern w:val="0"/>
                <w:sz w:val="18"/>
                <w:szCs w:val="18"/>
                <w:u w:val="none"/>
                <w:lang w:val="en-US" w:eastAsia="zh-CN" w:bidi="ar"/>
              </w:rPr>
              <w:t>环境保护管理事务</w:t>
            </w:r>
          </w:p>
        </w:tc>
        <w:tc>
          <w:tcPr>
            <w:tcW w:w="1054" w:type="dxa"/>
            <w:vAlign w:val="center"/>
          </w:tcPr>
          <w:p>
            <w:pPr>
              <w:widowControl/>
              <w:jc w:val="left"/>
              <w:outlineLvl w:val="1"/>
              <w:rPr>
                <w:rFonts w:hint="eastAsia" w:ascii="宋体" w:hAnsi="宋体" w:eastAsia="宋体" w:cs="宋体"/>
                <w:kern w:val="0"/>
                <w:sz w:val="18"/>
                <w:szCs w:val="18"/>
                <w:highlight w:val="yellow"/>
              </w:rPr>
            </w:pPr>
          </w:p>
        </w:tc>
        <w:tc>
          <w:tcPr>
            <w:tcW w:w="731" w:type="dxa"/>
            <w:vAlign w:val="center"/>
          </w:tcPr>
          <w:p>
            <w:pPr>
              <w:widowControl/>
              <w:jc w:val="left"/>
              <w:outlineLvl w:val="1"/>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78.00</w:t>
            </w:r>
          </w:p>
        </w:tc>
        <w:tc>
          <w:tcPr>
            <w:tcW w:w="547" w:type="dxa"/>
            <w:vAlign w:val="center"/>
          </w:tcPr>
          <w:p>
            <w:pPr>
              <w:widowControl/>
              <w:jc w:val="left"/>
              <w:outlineLvl w:val="1"/>
              <w:rPr>
                <w:rFonts w:hint="eastAsia" w:ascii="宋体" w:hAnsi="宋体" w:eastAsia="宋体" w:cs="宋体"/>
                <w:kern w:val="0"/>
                <w:sz w:val="18"/>
                <w:szCs w:val="18"/>
                <w:highlight w:val="none"/>
              </w:rPr>
            </w:pPr>
          </w:p>
        </w:tc>
        <w:tc>
          <w:tcPr>
            <w:tcW w:w="698" w:type="dxa"/>
            <w:vAlign w:val="center"/>
          </w:tcPr>
          <w:p>
            <w:pPr>
              <w:widowControl/>
              <w:jc w:val="left"/>
              <w:outlineLvl w:val="1"/>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71.00</w:t>
            </w:r>
          </w:p>
        </w:tc>
        <w:tc>
          <w:tcPr>
            <w:tcW w:w="580" w:type="dxa"/>
            <w:vAlign w:val="center"/>
          </w:tcPr>
          <w:p>
            <w:pPr>
              <w:widowControl/>
              <w:jc w:val="left"/>
              <w:outlineLvl w:val="1"/>
              <w:rPr>
                <w:rFonts w:hint="eastAsia" w:ascii="宋体" w:hAnsi="宋体" w:eastAsia="宋体" w:cs="宋体"/>
                <w:kern w:val="0"/>
                <w:sz w:val="16"/>
                <w:szCs w:val="16"/>
                <w:highlight w:val="none"/>
              </w:rPr>
            </w:pPr>
          </w:p>
        </w:tc>
        <w:tc>
          <w:tcPr>
            <w:tcW w:w="651" w:type="dxa"/>
          </w:tcPr>
          <w:p>
            <w:pPr>
              <w:widowControl/>
              <w:jc w:val="left"/>
              <w:outlineLvl w:val="1"/>
              <w:rPr>
                <w:rFonts w:ascii="仿宋_GB2312" w:hAnsi="宋体" w:eastAsia="仿宋_GB2312"/>
                <w:kern w:val="0"/>
                <w:sz w:val="16"/>
                <w:szCs w:val="16"/>
                <w:highlight w:val="yellow"/>
              </w:rPr>
            </w:pPr>
          </w:p>
        </w:tc>
        <w:tc>
          <w:tcPr>
            <w:tcW w:w="57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19"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78"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6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211</w:t>
            </w:r>
          </w:p>
        </w:tc>
        <w:tc>
          <w:tcPr>
            <w:tcW w:w="450" w:type="dxa"/>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01</w:t>
            </w:r>
          </w:p>
        </w:tc>
        <w:tc>
          <w:tcPr>
            <w:tcW w:w="495" w:type="dxa"/>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99</w:t>
            </w:r>
          </w:p>
        </w:tc>
        <w:tc>
          <w:tcPr>
            <w:tcW w:w="915" w:type="dxa"/>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其他环境保护管理事务支出</w:t>
            </w:r>
          </w:p>
        </w:tc>
        <w:tc>
          <w:tcPr>
            <w:tcW w:w="1054" w:type="dxa"/>
            <w:vAlign w:val="center"/>
          </w:tcPr>
          <w:p>
            <w:pPr>
              <w:widowControl/>
              <w:jc w:val="left"/>
              <w:outlineLvl w:val="1"/>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　业务经费</w:t>
            </w:r>
          </w:p>
        </w:tc>
        <w:tc>
          <w:tcPr>
            <w:tcW w:w="731" w:type="dxa"/>
            <w:vAlign w:val="center"/>
          </w:tcPr>
          <w:p>
            <w:pPr>
              <w:widowControl/>
              <w:jc w:val="left"/>
              <w:outlineLvl w:val="1"/>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　71.00</w:t>
            </w:r>
          </w:p>
        </w:tc>
        <w:tc>
          <w:tcPr>
            <w:tcW w:w="547" w:type="dxa"/>
            <w:vAlign w:val="center"/>
          </w:tcPr>
          <w:p>
            <w:pPr>
              <w:widowControl/>
              <w:jc w:val="left"/>
              <w:outlineLvl w:val="1"/>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　</w:t>
            </w:r>
          </w:p>
        </w:tc>
        <w:tc>
          <w:tcPr>
            <w:tcW w:w="698" w:type="dxa"/>
            <w:vAlign w:val="center"/>
          </w:tcPr>
          <w:p>
            <w:pPr>
              <w:widowControl/>
              <w:jc w:val="center"/>
              <w:outlineLvl w:val="1"/>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71.00</w:t>
            </w:r>
          </w:p>
        </w:tc>
        <w:tc>
          <w:tcPr>
            <w:tcW w:w="580" w:type="dxa"/>
          </w:tcPr>
          <w:p>
            <w:pPr>
              <w:widowControl/>
              <w:jc w:val="left"/>
              <w:outlineLvl w:val="1"/>
              <w:rPr>
                <w:rFonts w:hint="eastAsia" w:ascii="宋体" w:hAnsi="宋体" w:eastAsia="宋体" w:cs="宋体"/>
                <w:kern w:val="0"/>
                <w:sz w:val="16"/>
                <w:szCs w:val="16"/>
                <w:highlight w:val="none"/>
              </w:rPr>
            </w:pPr>
            <w:r>
              <w:rPr>
                <w:rFonts w:hint="eastAsia" w:ascii="宋体" w:hAnsi="宋体" w:eastAsia="宋体" w:cs="宋体"/>
                <w:kern w:val="0"/>
                <w:sz w:val="16"/>
                <w:szCs w:val="16"/>
                <w:highlight w:val="none"/>
              </w:rPr>
              <w:t>　</w:t>
            </w:r>
          </w:p>
        </w:tc>
        <w:tc>
          <w:tcPr>
            <w:tcW w:w="651"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7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19"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78"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6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211</w:t>
            </w:r>
          </w:p>
        </w:tc>
        <w:tc>
          <w:tcPr>
            <w:tcW w:w="450" w:type="dxa"/>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01</w:t>
            </w:r>
          </w:p>
        </w:tc>
        <w:tc>
          <w:tcPr>
            <w:tcW w:w="495" w:type="dxa"/>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99</w:t>
            </w:r>
          </w:p>
        </w:tc>
        <w:tc>
          <w:tcPr>
            <w:tcW w:w="915" w:type="dxa"/>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其他环境保护管理事务支出</w:t>
            </w:r>
          </w:p>
        </w:tc>
        <w:tc>
          <w:tcPr>
            <w:tcW w:w="1054" w:type="dxa"/>
            <w:vAlign w:val="center"/>
          </w:tcPr>
          <w:p>
            <w:pPr>
              <w:widowControl/>
              <w:jc w:val="left"/>
              <w:outlineLvl w:val="1"/>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群众工作经费</w:t>
            </w:r>
          </w:p>
        </w:tc>
        <w:tc>
          <w:tcPr>
            <w:tcW w:w="731" w:type="dxa"/>
            <w:vAlign w:val="center"/>
          </w:tcPr>
          <w:p>
            <w:pPr>
              <w:widowControl/>
              <w:jc w:val="left"/>
              <w:outlineLvl w:val="1"/>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　7.00</w:t>
            </w:r>
          </w:p>
        </w:tc>
        <w:tc>
          <w:tcPr>
            <w:tcW w:w="547" w:type="dxa"/>
            <w:vAlign w:val="center"/>
          </w:tcPr>
          <w:p>
            <w:pPr>
              <w:widowControl/>
              <w:jc w:val="left"/>
              <w:outlineLvl w:val="1"/>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　</w:t>
            </w:r>
          </w:p>
        </w:tc>
        <w:tc>
          <w:tcPr>
            <w:tcW w:w="698" w:type="dxa"/>
            <w:vAlign w:val="center"/>
          </w:tcPr>
          <w:p>
            <w:pPr>
              <w:widowControl/>
              <w:jc w:val="left"/>
              <w:outlineLvl w:val="1"/>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　7.00</w:t>
            </w:r>
          </w:p>
        </w:tc>
        <w:tc>
          <w:tcPr>
            <w:tcW w:w="580" w:type="dxa"/>
          </w:tcPr>
          <w:p>
            <w:pPr>
              <w:widowControl/>
              <w:jc w:val="left"/>
              <w:outlineLvl w:val="1"/>
              <w:rPr>
                <w:rFonts w:hint="eastAsia" w:ascii="宋体" w:hAnsi="宋体" w:eastAsia="宋体" w:cs="宋体"/>
                <w:kern w:val="0"/>
                <w:sz w:val="16"/>
                <w:szCs w:val="16"/>
                <w:highlight w:val="none"/>
              </w:rPr>
            </w:pPr>
            <w:r>
              <w:rPr>
                <w:rFonts w:hint="eastAsia" w:ascii="宋体" w:hAnsi="宋体" w:eastAsia="宋体" w:cs="宋体"/>
                <w:kern w:val="0"/>
                <w:sz w:val="16"/>
                <w:szCs w:val="16"/>
                <w:highlight w:val="none"/>
              </w:rPr>
              <w:t>　</w:t>
            </w:r>
          </w:p>
        </w:tc>
        <w:tc>
          <w:tcPr>
            <w:tcW w:w="651"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7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19"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78"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6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5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95"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915"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1054"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731"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47"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698"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8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651"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7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19"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78"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6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5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95"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915"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1054"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731"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47"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698"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8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651"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7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19"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78"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6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450" w:type="dxa"/>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495" w:type="dxa"/>
            <w:vAlign w:val="center"/>
          </w:tcPr>
          <w:p>
            <w:pPr>
              <w:widowControl/>
              <w:outlineLvl w:val="1"/>
              <w:rPr>
                <w:rFonts w:ascii="仿宋_GB2312" w:hAnsi="宋体" w:eastAsia="仿宋_GB2312" w:cs="Times New Roman"/>
                <w:kern w:val="0"/>
                <w:sz w:val="16"/>
                <w:szCs w:val="16"/>
                <w:highlight w:val="yellow"/>
                <w:lang w:val="en-US" w:eastAsia="zh-CN" w:bidi="ar-SA"/>
              </w:rPr>
            </w:pPr>
          </w:p>
        </w:tc>
        <w:tc>
          <w:tcPr>
            <w:tcW w:w="915" w:type="dxa"/>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1054" w:type="dxa"/>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731" w:type="dxa"/>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547" w:type="dxa"/>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698" w:type="dxa"/>
            <w:vAlign w:val="center"/>
          </w:tcPr>
          <w:p>
            <w:pPr>
              <w:widowControl/>
              <w:jc w:val="center"/>
              <w:outlineLvl w:val="1"/>
              <w:rPr>
                <w:rFonts w:ascii="仿宋_GB2312" w:hAnsi="宋体" w:eastAsia="仿宋_GB2312" w:cs="Times New Roman"/>
                <w:kern w:val="0"/>
                <w:sz w:val="16"/>
                <w:szCs w:val="16"/>
                <w:highlight w:val="yellow"/>
                <w:lang w:val="en-US" w:eastAsia="zh-CN" w:bidi="ar-SA"/>
              </w:rPr>
            </w:pPr>
          </w:p>
        </w:tc>
        <w:tc>
          <w:tcPr>
            <w:tcW w:w="580" w:type="dxa"/>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651" w:type="dxa"/>
            <w:vAlign w:val="top"/>
          </w:tcPr>
          <w:p>
            <w:pPr>
              <w:widowControl/>
              <w:jc w:val="left"/>
              <w:outlineLvl w:val="1"/>
              <w:rPr>
                <w:rFonts w:ascii="仿宋_GB2312" w:hAnsi="宋体" w:eastAsia="仿宋_GB2312" w:cs="Times New Roman"/>
                <w:kern w:val="0"/>
                <w:sz w:val="16"/>
                <w:szCs w:val="16"/>
                <w:highlight w:val="yellow"/>
                <w:lang w:val="en-US" w:eastAsia="zh-CN" w:bidi="ar-SA"/>
              </w:rPr>
            </w:pPr>
          </w:p>
        </w:tc>
        <w:tc>
          <w:tcPr>
            <w:tcW w:w="57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19"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78"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68" w:type="dxa"/>
            <w:gridSpan w:val="2"/>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450" w:type="dxa"/>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495" w:type="dxa"/>
            <w:vAlign w:val="center"/>
          </w:tcPr>
          <w:p>
            <w:pPr>
              <w:widowControl/>
              <w:outlineLvl w:val="1"/>
              <w:rPr>
                <w:rFonts w:ascii="仿宋_GB2312" w:hAnsi="宋体" w:eastAsia="仿宋_GB2312" w:cs="Times New Roman"/>
                <w:kern w:val="0"/>
                <w:sz w:val="16"/>
                <w:szCs w:val="16"/>
                <w:highlight w:val="yellow"/>
                <w:lang w:val="en-US" w:eastAsia="zh-CN" w:bidi="ar-SA"/>
              </w:rPr>
            </w:pPr>
          </w:p>
        </w:tc>
        <w:tc>
          <w:tcPr>
            <w:tcW w:w="915" w:type="dxa"/>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1054" w:type="dxa"/>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731" w:type="dxa"/>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547" w:type="dxa"/>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698" w:type="dxa"/>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580" w:type="dxa"/>
            <w:vAlign w:val="center"/>
          </w:tcPr>
          <w:p>
            <w:pPr>
              <w:widowControl/>
              <w:jc w:val="left"/>
              <w:outlineLvl w:val="1"/>
              <w:rPr>
                <w:rFonts w:ascii="仿宋_GB2312" w:hAnsi="宋体" w:eastAsia="仿宋_GB2312" w:cs="Times New Roman"/>
                <w:kern w:val="0"/>
                <w:sz w:val="16"/>
                <w:szCs w:val="16"/>
                <w:highlight w:val="yellow"/>
                <w:lang w:val="en-US" w:eastAsia="zh-CN" w:bidi="ar-SA"/>
              </w:rPr>
            </w:pPr>
          </w:p>
        </w:tc>
        <w:tc>
          <w:tcPr>
            <w:tcW w:w="651" w:type="dxa"/>
            <w:vAlign w:val="top"/>
          </w:tcPr>
          <w:p>
            <w:pPr>
              <w:widowControl/>
              <w:jc w:val="left"/>
              <w:outlineLvl w:val="1"/>
              <w:rPr>
                <w:rFonts w:ascii="仿宋_GB2312" w:hAnsi="宋体" w:eastAsia="仿宋_GB2312" w:cs="Times New Roman"/>
                <w:kern w:val="0"/>
                <w:sz w:val="16"/>
                <w:szCs w:val="16"/>
                <w:highlight w:val="yellow"/>
                <w:lang w:val="en-US" w:eastAsia="zh-CN" w:bidi="ar-SA"/>
              </w:rPr>
            </w:pP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4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9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4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9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4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9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tcPr>
          <w:p>
            <w:pPr>
              <w:widowControl/>
              <w:jc w:val="left"/>
              <w:outlineLvl w:val="1"/>
              <w:rPr>
                <w:rFonts w:ascii="仿宋_GB2312" w:hAnsi="宋体" w:eastAsia="仿宋_GB2312"/>
                <w:kern w:val="0"/>
                <w:sz w:val="32"/>
                <w:szCs w:val="32"/>
              </w:rPr>
            </w:pPr>
          </w:p>
        </w:tc>
        <w:tc>
          <w:tcPr>
            <w:tcW w:w="450" w:type="dxa"/>
          </w:tcPr>
          <w:p>
            <w:pPr>
              <w:widowControl/>
              <w:jc w:val="left"/>
              <w:outlineLvl w:val="1"/>
              <w:rPr>
                <w:rFonts w:ascii="仿宋_GB2312" w:hAnsi="宋体" w:eastAsia="仿宋_GB2312"/>
                <w:kern w:val="0"/>
                <w:sz w:val="32"/>
                <w:szCs w:val="32"/>
              </w:rPr>
            </w:pPr>
          </w:p>
        </w:tc>
        <w:tc>
          <w:tcPr>
            <w:tcW w:w="495" w:type="dxa"/>
          </w:tcPr>
          <w:p>
            <w:pPr>
              <w:widowControl/>
              <w:jc w:val="left"/>
              <w:outlineLvl w:val="1"/>
              <w:rPr>
                <w:rFonts w:ascii="仿宋_GB2312" w:hAnsi="宋体" w:eastAsia="仿宋_GB2312"/>
                <w:kern w:val="0"/>
                <w:sz w:val="32"/>
                <w:szCs w:val="32"/>
              </w:rPr>
            </w:pPr>
          </w:p>
        </w:tc>
        <w:tc>
          <w:tcPr>
            <w:tcW w:w="915" w:type="dxa"/>
          </w:tcPr>
          <w:p>
            <w:pPr>
              <w:widowControl/>
              <w:jc w:val="left"/>
              <w:outlineLvl w:val="1"/>
              <w:rPr>
                <w:rFonts w:ascii="仿宋_GB2312" w:hAnsi="宋体" w:eastAsia="仿宋_GB2312"/>
                <w:kern w:val="0"/>
                <w:sz w:val="32"/>
                <w:szCs w:val="32"/>
              </w:rPr>
            </w:pPr>
          </w:p>
        </w:tc>
        <w:tc>
          <w:tcPr>
            <w:tcW w:w="1054" w:type="dxa"/>
          </w:tcPr>
          <w:p>
            <w:pPr>
              <w:widowControl/>
              <w:jc w:val="left"/>
              <w:outlineLvl w:val="1"/>
              <w:rPr>
                <w:rFonts w:ascii="仿宋_GB2312" w:hAnsi="宋体" w:eastAsia="仿宋_GB2312"/>
                <w:kern w:val="0"/>
                <w:sz w:val="32"/>
                <w:szCs w:val="32"/>
              </w:rPr>
            </w:pPr>
          </w:p>
        </w:tc>
        <w:tc>
          <w:tcPr>
            <w:tcW w:w="731" w:type="dxa"/>
          </w:tcPr>
          <w:p>
            <w:pPr>
              <w:widowControl/>
              <w:jc w:val="left"/>
              <w:outlineLvl w:val="1"/>
              <w:rPr>
                <w:rFonts w:ascii="仿宋_GB2312" w:hAnsi="宋体" w:eastAsia="仿宋_GB2312"/>
                <w:kern w:val="0"/>
                <w:sz w:val="32"/>
                <w:szCs w:val="32"/>
              </w:rPr>
            </w:pPr>
          </w:p>
        </w:tc>
        <w:tc>
          <w:tcPr>
            <w:tcW w:w="547" w:type="dxa"/>
          </w:tcPr>
          <w:p>
            <w:pPr>
              <w:widowControl/>
              <w:jc w:val="left"/>
              <w:outlineLvl w:val="1"/>
              <w:rPr>
                <w:rFonts w:ascii="仿宋_GB2312" w:hAnsi="宋体" w:eastAsia="仿宋_GB2312"/>
                <w:kern w:val="0"/>
                <w:sz w:val="32"/>
                <w:szCs w:val="32"/>
              </w:rPr>
            </w:pPr>
          </w:p>
        </w:tc>
        <w:tc>
          <w:tcPr>
            <w:tcW w:w="698" w:type="dxa"/>
          </w:tcPr>
          <w:p>
            <w:pPr>
              <w:widowControl/>
              <w:jc w:val="left"/>
              <w:outlineLvl w:val="1"/>
              <w:rPr>
                <w:rFonts w:ascii="仿宋_GB2312" w:hAnsi="宋体" w:eastAsia="仿宋_GB2312"/>
                <w:kern w:val="0"/>
                <w:sz w:val="32"/>
                <w:szCs w:val="32"/>
              </w:rPr>
            </w:pPr>
          </w:p>
        </w:tc>
        <w:tc>
          <w:tcPr>
            <w:tcW w:w="580" w:type="dxa"/>
          </w:tcPr>
          <w:p>
            <w:pPr>
              <w:widowControl/>
              <w:jc w:val="left"/>
              <w:outlineLvl w:val="1"/>
              <w:rPr>
                <w:rFonts w:ascii="仿宋_GB2312" w:hAnsi="宋体" w:eastAsia="仿宋_GB2312"/>
                <w:kern w:val="0"/>
                <w:sz w:val="32"/>
                <w:szCs w:val="32"/>
              </w:rPr>
            </w:pPr>
          </w:p>
        </w:tc>
        <w:tc>
          <w:tcPr>
            <w:tcW w:w="651"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4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9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1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54"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w:t>
            </w:r>
            <w:r>
              <w:rPr>
                <w:rFonts w:ascii="仿宋_GB2312" w:hAnsi="宋体" w:eastAsia="仿宋_GB2312"/>
                <w:b/>
                <w:bCs/>
                <w:kern w:val="0"/>
                <w:szCs w:val="21"/>
              </w:rPr>
              <w:t xml:space="preserve"> </w:t>
            </w:r>
            <w:r>
              <w:rPr>
                <w:rFonts w:hint="eastAsia" w:ascii="仿宋_GB2312" w:hAnsi="宋体" w:eastAsia="仿宋_GB2312"/>
                <w:b/>
                <w:bCs/>
                <w:kern w:val="0"/>
                <w:szCs w:val="21"/>
              </w:rPr>
              <w:t>计</w:t>
            </w:r>
          </w:p>
        </w:tc>
        <w:tc>
          <w:tcPr>
            <w:tcW w:w="731" w:type="dxa"/>
            <w:vAlign w:val="center"/>
          </w:tcPr>
          <w:p>
            <w:pPr>
              <w:widowControl/>
              <w:jc w:val="center"/>
              <w:outlineLvl w:val="1"/>
              <w:rPr>
                <w:rFonts w:ascii="仿宋_GB2312" w:hAnsi="宋体" w:eastAsia="仿宋_GB2312"/>
                <w:kern w:val="0"/>
                <w:sz w:val="16"/>
                <w:szCs w:val="16"/>
              </w:rPr>
            </w:pPr>
            <w:r>
              <w:rPr>
                <w:rFonts w:ascii="仿宋_GB2312" w:hAnsi="宋体" w:eastAsia="仿宋_GB2312"/>
                <w:kern w:val="0"/>
                <w:sz w:val="16"/>
                <w:szCs w:val="16"/>
              </w:rPr>
              <w:t>78.00</w:t>
            </w:r>
          </w:p>
        </w:tc>
        <w:tc>
          <w:tcPr>
            <w:tcW w:w="547"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698" w:type="dxa"/>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r>
              <w:rPr>
                <w:rFonts w:ascii="仿宋_GB2312" w:hAnsi="宋体" w:eastAsia="仿宋_GB2312"/>
                <w:kern w:val="0"/>
                <w:sz w:val="16"/>
                <w:szCs w:val="16"/>
              </w:rPr>
              <w:t>78.00</w:t>
            </w:r>
          </w:p>
        </w:tc>
        <w:tc>
          <w:tcPr>
            <w:tcW w:w="58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cs="宋体"/>
          <w:spacing w:val="-20"/>
          <w:kern w:val="0"/>
          <w:sz w:val="24"/>
        </w:rPr>
        <w:t>克</w:t>
      </w:r>
      <w:r>
        <w:rPr>
          <w:rFonts w:hint="eastAsia" w:ascii="仿宋_GB2312" w:hAnsi="宋体" w:eastAsia="仿宋_GB2312"/>
          <w:spacing w:val="-20"/>
          <w:kern w:val="0"/>
          <w:sz w:val="24"/>
        </w:rPr>
        <w:t>孜勒苏柯尔克孜自治州生态环境局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29.00</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cs="宋体"/>
                <w:color w:val="000000"/>
                <w:kern w:val="0"/>
                <w:sz w:val="24"/>
              </w:rPr>
              <w:t>0.00</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29.00</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ascii="宋体" w:hAnsi="宋体" w:cs="宋体"/>
                <w:color w:val="000000"/>
                <w:kern w:val="0"/>
                <w:sz w:val="24"/>
              </w:rPr>
              <w:t>26.00</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3.00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spacing w:line="280" w:lineRule="exact"/>
        <w:jc w:val="left"/>
        <w:outlineLvl w:val="1"/>
        <w:rPr>
          <w:rFonts w:ascii="仿宋_GB2312" w:hAnsi="宋体" w:eastAsia="仿宋_GB2312"/>
          <w:kern w:val="0"/>
          <w:sz w:val="32"/>
          <w:szCs w:val="32"/>
        </w:rPr>
      </w:pPr>
    </w:p>
    <w:p>
      <w:pPr>
        <w:widowControl/>
        <w:spacing w:line="40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40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cs="宋体"/>
          <w:spacing w:val="-20"/>
          <w:kern w:val="0"/>
          <w:sz w:val="24"/>
        </w:rPr>
        <w:t>克</w:t>
      </w:r>
      <w:r>
        <w:rPr>
          <w:rFonts w:hint="eastAsia" w:ascii="仿宋_GB2312" w:hAnsi="宋体" w:eastAsia="仿宋_GB2312"/>
          <w:spacing w:val="-20"/>
          <w:kern w:val="0"/>
          <w:sz w:val="24"/>
        </w:rPr>
        <w:t>孜勒苏柯尔克孜自治州生态环境局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spacing w:line="280" w:lineRule="exact"/>
        <w:outlineLvl w:val="1"/>
        <w:rPr>
          <w:rFonts w:ascii="仿宋_GB2312" w:hAnsi="宋体" w:eastAsia="仿宋_GB2312"/>
          <w:b/>
          <w:kern w:val="0"/>
          <w:sz w:val="28"/>
          <w:szCs w:val="28"/>
        </w:rPr>
      </w:pPr>
      <w:r>
        <w:rPr>
          <w:rFonts w:hint="eastAsia" w:ascii="仿宋_GB2312" w:hAnsi="宋体" w:eastAsia="仿宋_GB2312"/>
          <w:b/>
          <w:kern w:val="0"/>
          <w:sz w:val="28"/>
          <w:szCs w:val="28"/>
        </w:rPr>
        <w:t>备注：</w:t>
      </w:r>
      <w:r>
        <w:rPr>
          <w:rFonts w:hint="eastAsia" w:ascii="仿宋_GB2312" w:hAnsi="宋体" w:eastAsia="仿宋_GB2312" w:cs="宋体"/>
          <w:b/>
          <w:spacing w:val="-20"/>
          <w:kern w:val="0"/>
          <w:sz w:val="28"/>
          <w:szCs w:val="28"/>
        </w:rPr>
        <w:t>克</w:t>
      </w:r>
      <w:r>
        <w:rPr>
          <w:rFonts w:hint="eastAsia" w:ascii="仿宋_GB2312" w:hAnsi="宋体" w:eastAsia="仿宋_GB2312"/>
          <w:b/>
          <w:spacing w:val="-20"/>
          <w:kern w:val="0"/>
          <w:sz w:val="28"/>
          <w:szCs w:val="28"/>
        </w:rPr>
        <w:t>孜勒苏柯尔克孜自治州生态环境局</w:t>
      </w:r>
      <w:r>
        <w:rPr>
          <w:rFonts w:ascii="仿宋_GB2312" w:hAnsi="宋体" w:eastAsia="仿宋_GB2312"/>
          <w:b/>
          <w:kern w:val="0"/>
          <w:sz w:val="28"/>
          <w:szCs w:val="28"/>
        </w:rPr>
        <w:t>2021</w:t>
      </w:r>
      <w:r>
        <w:rPr>
          <w:rFonts w:hint="eastAsia" w:ascii="仿宋_GB2312" w:hAnsi="宋体" w:eastAsia="仿宋_GB2312"/>
          <w:b/>
          <w:kern w:val="0"/>
          <w:sz w:val="28"/>
          <w:szCs w:val="28"/>
        </w:rPr>
        <w:t>年未安排政府性基金预算拨款支出，故此表为空。</w:t>
      </w:r>
    </w:p>
    <w:p>
      <w:pPr>
        <w:widowControl/>
        <w:spacing w:line="280" w:lineRule="exact"/>
        <w:jc w:val="left"/>
        <w:outlineLvl w:val="1"/>
        <w:rPr>
          <w:rFonts w:ascii="仿宋_GB2312" w:hAnsi="宋体" w:eastAsia="仿宋_GB2312"/>
          <w:kern w:val="0"/>
          <w:sz w:val="28"/>
          <w:szCs w:val="28"/>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2021</w:t>
      </w:r>
      <w:r>
        <w:rPr>
          <w:rFonts w:hint="eastAsia" w:ascii="黑体" w:hAnsi="黑体" w:eastAsia="黑体"/>
          <w:kern w:val="0"/>
          <w:sz w:val="32"/>
          <w:szCs w:val="32"/>
        </w:rPr>
        <w:t>年部门（单位）预算情况说明</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黑体" w:hAnsi="宋体" w:eastAsia="黑体" w:cs="宋体"/>
          <w:b/>
          <w:kern w:val="0"/>
          <w:sz w:val="32"/>
          <w:szCs w:val="32"/>
        </w:rPr>
      </w:pPr>
      <w:r>
        <w:rPr>
          <w:rFonts w:hint="eastAsia" w:ascii="黑体" w:hAnsi="黑体" w:eastAsia="黑体" w:cs="宋体"/>
          <w:b/>
          <w:bCs/>
          <w:kern w:val="0"/>
          <w:sz w:val="32"/>
          <w:szCs w:val="32"/>
        </w:rPr>
        <w:t>一、</w:t>
      </w:r>
      <w:r>
        <w:rPr>
          <w:rFonts w:hint="eastAsia" w:ascii="黑体" w:hAnsi="宋体" w:eastAsia="黑体" w:cs="宋体"/>
          <w:b/>
          <w:kern w:val="0"/>
          <w:sz w:val="32"/>
          <w:szCs w:val="32"/>
        </w:rPr>
        <w:t>关于克</w:t>
      </w:r>
      <w:r>
        <w:rPr>
          <w:rFonts w:hint="eastAsia" w:ascii="黑体" w:hAnsi="宋体" w:eastAsia="黑体"/>
          <w:b/>
          <w:kern w:val="0"/>
          <w:sz w:val="32"/>
          <w:szCs w:val="32"/>
        </w:rPr>
        <w:t>孜勒苏柯尔克孜自治州生态环境局</w:t>
      </w:r>
      <w:r>
        <w:rPr>
          <w:rFonts w:ascii="黑体" w:hAnsi="宋体" w:eastAsia="黑体" w:cs="宋体"/>
          <w:b/>
          <w:kern w:val="0"/>
          <w:sz w:val="32"/>
          <w:szCs w:val="32"/>
        </w:rPr>
        <w:t>2021</w:t>
      </w:r>
      <w:r>
        <w:rPr>
          <w:rFonts w:hint="eastAsia" w:ascii="黑体" w:hAnsi="宋体" w:eastAsia="黑体" w:cs="宋体"/>
          <w:b/>
          <w:kern w:val="0"/>
          <w:sz w:val="32"/>
          <w:szCs w:val="32"/>
        </w:rPr>
        <w:t>年收支预算情况的总体说明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spacing w:val="-20"/>
          <w:kern w:val="0"/>
          <w:sz w:val="32"/>
          <w:szCs w:val="32"/>
        </w:rPr>
        <w:t>克</w:t>
      </w:r>
      <w:r>
        <w:rPr>
          <w:rFonts w:hint="eastAsia" w:ascii="仿宋_GB2312" w:hAnsi="宋体" w:eastAsia="仿宋_GB2312"/>
          <w:spacing w:val="-20"/>
          <w:kern w:val="0"/>
          <w:sz w:val="32"/>
          <w:szCs w:val="32"/>
        </w:rPr>
        <w:t>孜勒苏柯尔克孜自治州生态环境局</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年所有收入和支出均纳入部门预算管理。收支总预算</w:t>
      </w:r>
      <w:r>
        <w:rPr>
          <w:rFonts w:ascii="仿宋_GB2312" w:hAnsi="宋体" w:eastAsia="仿宋_GB2312" w:cs="宋体"/>
          <w:kern w:val="0"/>
          <w:sz w:val="32"/>
          <w:szCs w:val="32"/>
        </w:rPr>
        <w:t>602.21</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585.21</w:t>
      </w:r>
      <w:r>
        <w:rPr>
          <w:rFonts w:hint="eastAsia" w:ascii="仿宋_GB2312" w:hAnsi="宋体" w:eastAsia="仿宋_GB2312" w:cs="宋体"/>
          <w:kern w:val="0"/>
          <w:sz w:val="32"/>
          <w:szCs w:val="32"/>
        </w:rPr>
        <w:t>万元、上级专项收入</w:t>
      </w:r>
      <w:r>
        <w:rPr>
          <w:rFonts w:ascii="仿宋_GB2312" w:hAnsi="宋体" w:eastAsia="仿宋_GB2312" w:cs="宋体"/>
          <w:kern w:val="0"/>
          <w:sz w:val="32"/>
          <w:szCs w:val="32"/>
        </w:rPr>
        <w:t>17.00</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w:t>
      </w:r>
      <w:r>
        <w:rPr>
          <w:rFonts w:ascii="仿宋_GB2312" w:hAnsi="宋体" w:eastAsia="仿宋_GB2312" w:cs="宋体"/>
          <w:kern w:val="0"/>
          <w:sz w:val="32"/>
          <w:szCs w:val="32"/>
        </w:rPr>
        <w:t>5.2</w:t>
      </w:r>
      <w:r>
        <w:rPr>
          <w:rFonts w:hint="eastAsia" w:ascii="仿宋_GB2312" w:hAnsi="宋体" w:eastAsia="仿宋_GB2312" w:cs="宋体"/>
          <w:kern w:val="0"/>
          <w:sz w:val="32"/>
          <w:szCs w:val="32"/>
        </w:rPr>
        <w:t>万元、节能环保支出</w:t>
      </w:r>
      <w:r>
        <w:rPr>
          <w:rFonts w:ascii="仿宋_GB2312" w:hAnsi="宋体" w:eastAsia="仿宋_GB2312" w:cs="宋体"/>
          <w:kern w:val="0"/>
          <w:sz w:val="32"/>
          <w:szCs w:val="32"/>
        </w:rPr>
        <w:t>597.01</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宋体" w:eastAsia="黑体" w:cs="宋体"/>
          <w:kern w:val="0"/>
          <w:sz w:val="32"/>
          <w:szCs w:val="32"/>
        </w:rPr>
      </w:pPr>
      <w:r>
        <w:rPr>
          <w:rFonts w:hint="eastAsia" w:ascii="黑体" w:hAnsi="宋体" w:eastAsia="黑体" w:cs="宋体"/>
          <w:kern w:val="0"/>
          <w:sz w:val="32"/>
          <w:szCs w:val="32"/>
        </w:rPr>
        <w:t>二、关于克</w:t>
      </w:r>
      <w:r>
        <w:rPr>
          <w:rFonts w:hint="eastAsia" w:ascii="黑体" w:hAnsi="宋体" w:eastAsia="黑体"/>
          <w:kern w:val="0"/>
          <w:sz w:val="32"/>
          <w:szCs w:val="32"/>
        </w:rPr>
        <w:t>孜勒苏柯尔克孜自治州生态环境局</w:t>
      </w:r>
      <w:r>
        <w:rPr>
          <w:rFonts w:ascii="黑体" w:hAnsi="宋体" w:eastAsia="黑体" w:cs="宋体"/>
          <w:kern w:val="0"/>
          <w:sz w:val="32"/>
          <w:szCs w:val="32"/>
        </w:rPr>
        <w:t>2021</w:t>
      </w:r>
      <w:r>
        <w:rPr>
          <w:rFonts w:hint="eastAsia" w:ascii="黑体" w:hAnsi="宋体" w:eastAsia="黑体" w:cs="宋体"/>
          <w:kern w:val="0"/>
          <w:sz w:val="32"/>
          <w:szCs w:val="32"/>
        </w:rPr>
        <w:t>年收入预算情况说明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克</w:t>
      </w:r>
      <w:r>
        <w:rPr>
          <w:rFonts w:hint="eastAsia" w:ascii="仿宋_GB2312" w:hAnsi="宋体" w:eastAsia="仿宋_GB2312"/>
          <w:kern w:val="0"/>
          <w:sz w:val="32"/>
          <w:szCs w:val="32"/>
          <w:highlight w:val="none"/>
        </w:rPr>
        <w:t>孜勒苏柯尔克孜自治州生态环境局</w:t>
      </w:r>
      <w:r>
        <w:rPr>
          <w:rFonts w:hint="eastAsia" w:ascii="仿宋_GB2312" w:hAnsi="宋体" w:eastAsia="仿宋_GB2312" w:cs="宋体"/>
          <w:kern w:val="0"/>
          <w:sz w:val="32"/>
          <w:szCs w:val="32"/>
          <w:highlight w:val="none"/>
        </w:rPr>
        <w:t>收入预算</w:t>
      </w:r>
      <w:r>
        <w:rPr>
          <w:rFonts w:ascii="仿宋_GB2312" w:hAnsi="宋体" w:eastAsia="仿宋_GB2312" w:cs="宋体"/>
          <w:kern w:val="0"/>
          <w:sz w:val="32"/>
          <w:szCs w:val="32"/>
          <w:highlight w:val="none"/>
        </w:rPr>
        <w:t>602.21</w:t>
      </w:r>
      <w:r>
        <w:rPr>
          <w:rFonts w:hint="eastAsia" w:ascii="仿宋_GB2312" w:hAnsi="宋体" w:eastAsia="仿宋_GB2312" w:cs="宋体"/>
          <w:kern w:val="0"/>
          <w:sz w:val="32"/>
          <w:szCs w:val="32"/>
          <w:highlight w:val="none"/>
        </w:rPr>
        <w:t>万元，其中：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一般公共预算</w:t>
      </w:r>
      <w:r>
        <w:rPr>
          <w:rFonts w:ascii="仿宋_GB2312" w:hAnsi="宋体" w:eastAsia="仿宋_GB2312" w:cs="宋体"/>
          <w:kern w:val="0"/>
          <w:sz w:val="32"/>
          <w:szCs w:val="32"/>
          <w:highlight w:val="none"/>
        </w:rPr>
        <w:t>585.21</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97.18 %</w:t>
      </w:r>
      <w:r>
        <w:rPr>
          <w:rFonts w:hint="eastAsia" w:ascii="仿宋_GB2312" w:hAnsi="宋体" w:eastAsia="仿宋_GB2312" w:cs="宋体"/>
          <w:kern w:val="0"/>
          <w:sz w:val="32"/>
          <w:szCs w:val="32"/>
          <w:highlight w:val="none"/>
        </w:rPr>
        <w:t>，比上年</w:t>
      </w:r>
      <w:r>
        <w:rPr>
          <w:rFonts w:hint="eastAsia" w:ascii="仿宋_GB2312" w:hAnsi="宋体" w:eastAsia="仿宋_GB2312" w:cs="宋体"/>
          <w:kern w:val="0"/>
          <w:sz w:val="32"/>
          <w:szCs w:val="32"/>
          <w:highlight w:val="none"/>
          <w:lang w:eastAsia="zh-CN"/>
        </w:rPr>
        <w:t>预算</w:t>
      </w:r>
      <w:r>
        <w:rPr>
          <w:rFonts w:hint="eastAsia" w:ascii="仿宋_GB2312" w:hAnsi="宋体" w:eastAsia="仿宋_GB2312" w:cs="宋体"/>
          <w:kern w:val="0"/>
          <w:sz w:val="32"/>
          <w:szCs w:val="32"/>
          <w:highlight w:val="none"/>
        </w:rPr>
        <w:t>增加</w:t>
      </w:r>
      <w:r>
        <w:rPr>
          <w:rFonts w:ascii="仿宋_GB2312" w:hAnsi="宋体" w:eastAsia="仿宋_GB2312" w:cs="宋体"/>
          <w:kern w:val="0"/>
          <w:sz w:val="32"/>
          <w:szCs w:val="32"/>
          <w:highlight w:val="none"/>
        </w:rPr>
        <w:t>15.91</w:t>
      </w:r>
      <w:r>
        <w:rPr>
          <w:rFonts w:hint="eastAsia" w:ascii="仿宋_GB2312" w:hAnsi="宋体" w:eastAsia="仿宋_GB2312" w:cs="宋体"/>
          <w:kern w:val="0"/>
          <w:sz w:val="32"/>
          <w:szCs w:val="32"/>
          <w:highlight w:val="none"/>
        </w:rPr>
        <w:t>万元，主要原因是增加了人员经费</w:t>
      </w:r>
      <w:r>
        <w:rPr>
          <w:rFonts w:hint="eastAsia" w:ascii="仿宋_GB2312" w:hAnsi="宋体" w:eastAsia="仿宋_GB2312" w:cs="宋体"/>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其中：2050201学前教育5.20万元，占0.89%，2110199其他环境保护管理事务支出78万元，占13.33%，2110101行政运行（环境保护管理事务）502.01万元，占85.78%。</w:t>
      </w:r>
      <w:r>
        <w:rPr>
          <w:rFonts w:ascii="仿宋_GB2312" w:hAnsi="宋体" w:eastAsia="仿宋_GB2312" w:cs="宋体"/>
          <w:kern w:val="0"/>
          <w:sz w:val="32"/>
          <w:szCs w:val="32"/>
          <w:highlight w:val="none"/>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政府性基金预算未安排。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CN"/>
        </w:rPr>
        <w:t>国有资本经营预算未安排。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上级专项收入</w:t>
      </w:r>
      <w:r>
        <w:rPr>
          <w:rFonts w:ascii="仿宋_GB2312" w:hAnsi="宋体" w:eastAsia="仿宋_GB2312" w:cs="宋体"/>
          <w:kern w:val="0"/>
          <w:sz w:val="32"/>
          <w:szCs w:val="32"/>
          <w:highlight w:val="none"/>
        </w:rPr>
        <w:t>17</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2.82 %</w:t>
      </w:r>
      <w:r>
        <w:rPr>
          <w:rFonts w:hint="eastAsia" w:ascii="仿宋_GB2312" w:hAnsi="宋体" w:eastAsia="仿宋_GB2312" w:cs="宋体"/>
          <w:kern w:val="0"/>
          <w:sz w:val="32"/>
          <w:szCs w:val="32"/>
          <w:highlight w:val="none"/>
        </w:rPr>
        <w:t>，比上年</w:t>
      </w:r>
      <w:r>
        <w:rPr>
          <w:rFonts w:hint="eastAsia" w:ascii="仿宋_GB2312" w:hAnsi="宋体" w:eastAsia="仿宋_GB2312" w:cs="宋体"/>
          <w:kern w:val="0"/>
          <w:sz w:val="32"/>
          <w:szCs w:val="32"/>
          <w:highlight w:val="none"/>
          <w:lang w:eastAsia="zh-CN"/>
        </w:rPr>
        <w:t>预算</w:t>
      </w:r>
      <w:r>
        <w:rPr>
          <w:rFonts w:hint="eastAsia" w:ascii="仿宋_GB2312" w:hAnsi="宋体" w:eastAsia="仿宋_GB2312" w:cs="宋体"/>
          <w:kern w:val="0"/>
          <w:sz w:val="32"/>
          <w:szCs w:val="32"/>
          <w:highlight w:val="none"/>
        </w:rPr>
        <w:t>增加</w:t>
      </w:r>
      <w:r>
        <w:rPr>
          <w:rFonts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其中</w:t>
      </w:r>
      <w:r>
        <w:rPr>
          <w:rFonts w:hint="eastAsia" w:ascii="仿宋_GB2312" w:hAnsi="宋体" w:eastAsia="仿宋_GB2312" w:cs="宋体"/>
          <w:kern w:val="0"/>
          <w:sz w:val="32"/>
          <w:szCs w:val="32"/>
          <w:highlight w:val="none"/>
          <w:lang w:val="en-US" w:eastAsia="zh-CN"/>
        </w:rPr>
        <w:t>2110199其他环境保护管理事务支出17万元，占100%。</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宋体" w:eastAsia="黑体" w:cs="宋体"/>
          <w:kern w:val="0"/>
          <w:sz w:val="32"/>
          <w:szCs w:val="32"/>
          <w:highlight w:val="none"/>
        </w:rPr>
      </w:pPr>
      <w:r>
        <w:rPr>
          <w:rFonts w:hint="eastAsia" w:ascii="黑体" w:hAnsi="宋体" w:eastAsia="黑体" w:cs="宋体"/>
          <w:kern w:val="0"/>
          <w:sz w:val="32"/>
          <w:szCs w:val="32"/>
          <w:highlight w:val="none"/>
        </w:rPr>
        <w:t>三、关于克</w:t>
      </w:r>
      <w:r>
        <w:rPr>
          <w:rFonts w:hint="eastAsia" w:ascii="黑体" w:hAnsi="宋体" w:eastAsia="黑体"/>
          <w:kern w:val="0"/>
          <w:sz w:val="32"/>
          <w:szCs w:val="32"/>
          <w:highlight w:val="none"/>
        </w:rPr>
        <w:t>孜勒苏柯尔克孜自治州生态环境局</w:t>
      </w:r>
      <w:r>
        <w:rPr>
          <w:rFonts w:ascii="黑体" w:hAnsi="宋体" w:eastAsia="黑体" w:cs="宋体"/>
          <w:kern w:val="0"/>
          <w:sz w:val="32"/>
          <w:szCs w:val="32"/>
          <w:highlight w:val="none"/>
        </w:rPr>
        <w:t>2021</w:t>
      </w:r>
      <w:r>
        <w:rPr>
          <w:rFonts w:hint="eastAsia" w:ascii="黑体" w:hAnsi="宋体" w:eastAsia="黑体" w:cs="宋体"/>
          <w:kern w:val="0"/>
          <w:sz w:val="32"/>
          <w:szCs w:val="32"/>
          <w:highlight w:val="none"/>
        </w:rPr>
        <w:t>年支出预算情况说明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克</w:t>
      </w:r>
      <w:r>
        <w:rPr>
          <w:rFonts w:hint="eastAsia" w:ascii="仿宋_GB2312" w:hAnsi="宋体" w:eastAsia="仿宋_GB2312"/>
          <w:kern w:val="0"/>
          <w:sz w:val="32"/>
          <w:szCs w:val="32"/>
          <w:highlight w:val="none"/>
        </w:rPr>
        <w:t>孜勒苏柯尔克孜自治州生态环境局</w:t>
      </w:r>
      <w:r>
        <w:rPr>
          <w:rFonts w:ascii="仿宋_GB2312" w:hAnsi="宋体" w:eastAsia="仿宋_GB2312" w:cs="宋体"/>
          <w:kern w:val="0"/>
          <w:sz w:val="32"/>
          <w:szCs w:val="32"/>
          <w:highlight w:val="none"/>
        </w:rPr>
        <w:t>2021</w:t>
      </w:r>
      <w:r>
        <w:rPr>
          <w:rFonts w:hint="eastAsia" w:ascii="仿宋_GB2312" w:hAnsi="宋体" w:eastAsia="仿宋_GB2312" w:cs="宋体"/>
          <w:kern w:val="0"/>
          <w:sz w:val="32"/>
          <w:szCs w:val="32"/>
          <w:highlight w:val="none"/>
        </w:rPr>
        <w:t>年支出预算</w:t>
      </w:r>
      <w:r>
        <w:rPr>
          <w:rFonts w:ascii="仿宋_GB2312" w:hAnsi="宋体" w:eastAsia="仿宋_GB2312" w:cs="宋体"/>
          <w:kern w:val="0"/>
          <w:sz w:val="32"/>
          <w:szCs w:val="32"/>
          <w:highlight w:val="none"/>
        </w:rPr>
        <w:t>602.21</w:t>
      </w:r>
      <w:r>
        <w:rPr>
          <w:rFonts w:hint="eastAsia" w:ascii="仿宋_GB2312" w:hAnsi="宋体" w:eastAsia="仿宋_GB2312" w:cs="宋体"/>
          <w:kern w:val="0"/>
          <w:sz w:val="32"/>
          <w:szCs w:val="32"/>
          <w:highlight w:val="none"/>
        </w:rPr>
        <w:t>万元，其中：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基本支出</w:t>
      </w:r>
      <w:r>
        <w:rPr>
          <w:rFonts w:ascii="仿宋_GB2312" w:hAnsi="宋体" w:eastAsia="仿宋_GB2312" w:cs="宋体"/>
          <w:kern w:val="0"/>
          <w:sz w:val="32"/>
          <w:szCs w:val="32"/>
          <w:highlight w:val="none"/>
        </w:rPr>
        <w:t>507.21</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84.23 %</w:t>
      </w:r>
      <w:r>
        <w:rPr>
          <w:rFonts w:hint="eastAsia" w:ascii="仿宋_GB2312" w:hAnsi="宋体" w:eastAsia="仿宋_GB2312" w:cs="宋体"/>
          <w:kern w:val="0"/>
          <w:sz w:val="32"/>
          <w:szCs w:val="32"/>
          <w:highlight w:val="none"/>
        </w:rPr>
        <w:t>，比上年</w:t>
      </w:r>
      <w:r>
        <w:rPr>
          <w:rFonts w:hint="eastAsia" w:ascii="仿宋_GB2312" w:hAnsi="宋体" w:eastAsia="仿宋_GB2312" w:cs="宋体"/>
          <w:kern w:val="0"/>
          <w:sz w:val="32"/>
          <w:szCs w:val="32"/>
          <w:highlight w:val="none"/>
          <w:lang w:eastAsia="zh-CN"/>
        </w:rPr>
        <w:t>预算</w:t>
      </w:r>
      <w:r>
        <w:rPr>
          <w:rFonts w:hint="eastAsia" w:ascii="仿宋_GB2312" w:hAnsi="宋体" w:eastAsia="仿宋_GB2312" w:cs="宋体"/>
          <w:kern w:val="0"/>
          <w:sz w:val="32"/>
          <w:szCs w:val="32"/>
          <w:highlight w:val="none"/>
        </w:rPr>
        <w:t>增加</w:t>
      </w:r>
      <w:r>
        <w:rPr>
          <w:rFonts w:ascii="仿宋_GB2312" w:hAnsi="宋体" w:eastAsia="仿宋_GB2312" w:cs="宋体"/>
          <w:kern w:val="0"/>
          <w:sz w:val="32"/>
          <w:szCs w:val="32"/>
          <w:highlight w:val="none"/>
        </w:rPr>
        <w:t>15.91</w:t>
      </w:r>
      <w:r>
        <w:rPr>
          <w:rFonts w:hint="eastAsia" w:ascii="仿宋_GB2312" w:hAnsi="宋体" w:eastAsia="仿宋_GB2312" w:cs="宋体"/>
          <w:kern w:val="0"/>
          <w:sz w:val="32"/>
          <w:szCs w:val="32"/>
          <w:highlight w:val="none"/>
        </w:rPr>
        <w:t>万元，主要原因是主要原因是增加了人员经费。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其中：2050201学前教育5.20万元，占1.03%，2110101行政运行（环境保护管理事务）502.01万元，占98.97%。</w:t>
      </w:r>
      <w:r>
        <w:rPr>
          <w:rFonts w:ascii="仿宋_GB2312" w:hAnsi="宋体" w:eastAsia="仿宋_GB2312" w:cs="宋体"/>
          <w:kern w:val="0"/>
          <w:sz w:val="32"/>
          <w:szCs w:val="32"/>
          <w:highlight w:val="none"/>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项目支出</w:t>
      </w:r>
      <w:r>
        <w:rPr>
          <w:rFonts w:ascii="仿宋_GB2312" w:hAnsi="宋体" w:eastAsia="仿宋_GB2312" w:cs="宋体"/>
          <w:kern w:val="0"/>
          <w:sz w:val="32"/>
          <w:szCs w:val="32"/>
          <w:highlight w:val="none"/>
        </w:rPr>
        <w:t>95</w:t>
      </w:r>
      <w:r>
        <w:rPr>
          <w:rFonts w:hint="eastAsia" w:ascii="仿宋_GB2312" w:hAnsi="宋体" w:eastAsia="仿宋_GB2312" w:cs="宋体"/>
          <w:kern w:val="0"/>
          <w:sz w:val="32"/>
          <w:szCs w:val="32"/>
          <w:highlight w:val="none"/>
        </w:rPr>
        <w:t>万元，占</w:t>
      </w:r>
      <w:r>
        <w:rPr>
          <w:rFonts w:ascii="仿宋_GB2312" w:hAnsi="宋体" w:eastAsia="仿宋_GB2312" w:cs="宋体"/>
          <w:kern w:val="0"/>
          <w:sz w:val="32"/>
          <w:szCs w:val="32"/>
          <w:highlight w:val="none"/>
        </w:rPr>
        <w:t>15.77 %</w:t>
      </w:r>
      <w:r>
        <w:rPr>
          <w:rFonts w:hint="eastAsia" w:ascii="仿宋_GB2312" w:hAnsi="宋体" w:eastAsia="仿宋_GB2312" w:cs="宋体"/>
          <w:kern w:val="0"/>
          <w:sz w:val="32"/>
          <w:szCs w:val="32"/>
          <w:highlight w:val="none"/>
        </w:rPr>
        <w:t>，比上年</w:t>
      </w:r>
      <w:r>
        <w:rPr>
          <w:rFonts w:hint="eastAsia" w:ascii="仿宋_GB2312" w:hAnsi="宋体" w:eastAsia="仿宋_GB2312" w:cs="宋体"/>
          <w:kern w:val="0"/>
          <w:sz w:val="32"/>
          <w:szCs w:val="32"/>
          <w:highlight w:val="none"/>
          <w:lang w:eastAsia="zh-CN"/>
        </w:rPr>
        <w:t>预算</w:t>
      </w:r>
      <w:r>
        <w:rPr>
          <w:rFonts w:hint="eastAsia" w:ascii="仿宋_GB2312" w:hAnsi="宋体" w:eastAsia="仿宋_GB2312" w:cs="宋体"/>
          <w:kern w:val="0"/>
          <w:sz w:val="32"/>
          <w:szCs w:val="32"/>
          <w:highlight w:val="none"/>
        </w:rPr>
        <w:t>减少</w:t>
      </w:r>
      <w:r>
        <w:rPr>
          <w:rFonts w:ascii="仿宋_GB2312" w:hAnsi="宋体" w:eastAsia="仿宋_GB2312" w:cs="宋体"/>
          <w:kern w:val="0"/>
          <w:sz w:val="32"/>
          <w:szCs w:val="32"/>
          <w:highlight w:val="none"/>
        </w:rPr>
        <w:t>29.61</w:t>
      </w:r>
      <w:r>
        <w:rPr>
          <w:rFonts w:hint="eastAsia" w:ascii="仿宋_GB2312" w:hAnsi="宋体" w:eastAsia="仿宋_GB2312" w:cs="宋体"/>
          <w:kern w:val="0"/>
          <w:sz w:val="32"/>
          <w:szCs w:val="32"/>
          <w:highlight w:val="none"/>
        </w:rPr>
        <w:t>万元，主要原因是</w:t>
      </w:r>
      <w:r>
        <w:rPr>
          <w:rFonts w:ascii="仿宋_GB2312" w:hAnsi="宋体" w:eastAsia="仿宋_GB2312" w:cs="宋体"/>
          <w:kern w:val="0"/>
          <w:sz w:val="32"/>
          <w:szCs w:val="32"/>
          <w:highlight w:val="none"/>
        </w:rPr>
        <w:t>2021</w:t>
      </w:r>
      <w:r>
        <w:rPr>
          <w:rFonts w:hint="eastAsia" w:ascii="仿宋_GB2312" w:hAnsi="宋体" w:eastAsia="仿宋_GB2312" w:cs="宋体"/>
          <w:kern w:val="0"/>
          <w:sz w:val="32"/>
          <w:szCs w:val="32"/>
          <w:highlight w:val="none"/>
        </w:rPr>
        <w:t>年没有增加新项目。</w:t>
      </w:r>
      <w:r>
        <w:rPr>
          <w:rFonts w:hint="eastAsia" w:ascii="仿宋_GB2312" w:hAnsi="宋体" w:eastAsia="仿宋_GB2312" w:cs="宋体"/>
          <w:kern w:val="0"/>
          <w:sz w:val="32"/>
          <w:szCs w:val="32"/>
          <w:highlight w:val="none"/>
          <w:lang w:eastAsia="zh-CN"/>
        </w:rPr>
        <w:t>其中</w:t>
      </w:r>
      <w:r>
        <w:rPr>
          <w:rFonts w:hint="eastAsia" w:ascii="仿宋_GB2312" w:hAnsi="宋体" w:eastAsia="仿宋_GB2312" w:cs="宋体"/>
          <w:kern w:val="0"/>
          <w:sz w:val="32"/>
          <w:szCs w:val="32"/>
          <w:highlight w:val="none"/>
          <w:lang w:val="en-US" w:eastAsia="zh-CN"/>
        </w:rPr>
        <w:t>2110199其他环境保护管理事务支出95万元，占100%。</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克</w:t>
      </w:r>
      <w:r>
        <w:rPr>
          <w:rFonts w:hint="eastAsia" w:ascii="黑体" w:hAnsi="宋体" w:eastAsia="黑体"/>
          <w:kern w:val="0"/>
          <w:sz w:val="32"/>
          <w:szCs w:val="32"/>
        </w:rPr>
        <w:t>孜勒苏柯尔克孜自治州生态环境局</w:t>
      </w:r>
      <w:r>
        <w:rPr>
          <w:rFonts w:ascii="黑体" w:hAnsi="黑体" w:eastAsia="黑体" w:cs="宋体"/>
          <w:bCs/>
          <w:kern w:val="0"/>
          <w:sz w:val="32"/>
          <w:szCs w:val="32"/>
        </w:rPr>
        <w:t>2021</w:t>
      </w:r>
      <w:r>
        <w:rPr>
          <w:rFonts w:hint="eastAsia" w:ascii="黑体" w:hAnsi="黑体" w:eastAsia="黑体" w:cs="宋体"/>
          <w:bCs/>
          <w:kern w:val="0"/>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585.21</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16" w:firstLineChars="200"/>
        <w:textAlignment w:val="auto"/>
        <w:rPr>
          <w:rFonts w:hint="eastAsia" w:ascii="仿宋_GB2312" w:hAnsi="宋体" w:eastAsia="仿宋_GB2312" w:cs="宋体"/>
          <w:color w:val="000000" w:themeColor="text1"/>
          <w:spacing w:val="-6"/>
          <w:kern w:val="0"/>
          <w:sz w:val="32"/>
          <w:szCs w:val="32"/>
          <w:lang w:eastAsia="zh-CN"/>
          <w14:textFill>
            <w14:solidFill>
              <w14:schemeClr w14:val="tx1"/>
            </w14:solidFill>
          </w14:textFill>
        </w:rPr>
      </w:pPr>
      <w:r>
        <w:rPr>
          <w:rFonts w:hint="eastAsia" w:ascii="仿宋_GB2312" w:hAnsi="宋体" w:eastAsia="仿宋_GB2312" w:cs="宋体"/>
          <w:color w:val="000000" w:themeColor="text1"/>
          <w:spacing w:val="-6"/>
          <w:kern w:val="0"/>
          <w:sz w:val="32"/>
          <w:szCs w:val="32"/>
          <w14:textFill>
            <w14:solidFill>
              <w14:schemeClr w14:val="tx1"/>
            </w14:solidFill>
          </w14:textFill>
        </w:rPr>
        <w:t>收入全部为一般公共预算拨款，无政府性基金预算拨款</w:t>
      </w:r>
      <w:r>
        <w:rPr>
          <w:rFonts w:hint="eastAsia" w:ascii="仿宋_GB2312" w:hAnsi="宋体" w:eastAsia="仿宋_GB2312" w:cs="宋体"/>
          <w:color w:val="000000" w:themeColor="text1"/>
          <w:spacing w:val="-6"/>
          <w:kern w:val="0"/>
          <w:sz w:val="32"/>
          <w:szCs w:val="32"/>
          <w:lang w:eastAsia="zh-CN"/>
          <w14:textFill>
            <w14:solidFill>
              <w14:schemeClr w14:val="tx1"/>
            </w14:solidFill>
          </w14:textFill>
        </w:rPr>
        <w:t>和国有资本经营预算。</w:t>
      </w:r>
    </w:p>
    <w:p>
      <w:pPr>
        <w:keepNext w:val="0"/>
        <w:keepLines w:val="0"/>
        <w:pageBreakBefore w:val="0"/>
        <w:kinsoku/>
        <w:wordWrap/>
        <w:overflowPunct/>
        <w:topLinePunct w:val="0"/>
        <w:autoSpaceDE/>
        <w:autoSpaceDN/>
        <w:bidi w:val="0"/>
        <w:adjustRightInd/>
        <w:snapToGrid/>
        <w:spacing w:line="580" w:lineRule="exact"/>
        <w:ind w:firstLine="616" w:firstLineChars="200"/>
        <w:textAlignment w:val="auto"/>
        <w:rPr>
          <w:rFonts w:hint="eastAsia" w:ascii="仿宋_GB2312" w:hAnsi="宋体" w:eastAsia="仿宋_GB2312" w:cs="宋体"/>
          <w:spacing w:val="-6"/>
          <w:kern w:val="0"/>
          <w:sz w:val="32"/>
          <w:szCs w:val="32"/>
          <w:lang w:val="en-US" w:eastAsia="zh-CN"/>
        </w:rPr>
      </w:pPr>
      <w:r>
        <w:rPr>
          <w:rFonts w:hint="eastAsia" w:ascii="仿宋_GB2312" w:hAnsi="宋体" w:eastAsia="仿宋_GB2312" w:cs="宋体"/>
          <w:spacing w:val="-6"/>
          <w:kern w:val="0"/>
          <w:sz w:val="32"/>
          <w:szCs w:val="32"/>
          <w:lang w:eastAsia="zh-CN"/>
        </w:rPr>
        <w:t>收入预算包括：一般公共预算拨款</w:t>
      </w:r>
      <w:r>
        <w:rPr>
          <w:rFonts w:hint="eastAsia" w:ascii="仿宋_GB2312" w:hAnsi="宋体" w:eastAsia="仿宋_GB2312" w:cs="宋体"/>
          <w:spacing w:val="-6"/>
          <w:kern w:val="0"/>
          <w:sz w:val="32"/>
          <w:szCs w:val="32"/>
          <w:lang w:val="en-US" w:eastAsia="zh-CN"/>
        </w:rPr>
        <w:t>585.21万元。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color w:val="000000" w:themeColor="text1"/>
          <w:spacing w:val="-6"/>
          <w:kern w:val="0"/>
          <w:sz w:val="32"/>
          <w:szCs w:val="32"/>
          <w:lang w:eastAsia="zh-CN"/>
          <w14:textFill>
            <w14:solidFill>
              <w14:schemeClr w14:val="tx1"/>
            </w14:solidFill>
          </w14:textFill>
        </w:rPr>
      </w:pPr>
      <w:r>
        <w:rPr>
          <w:rFonts w:hint="eastAsia" w:ascii="仿宋_GB2312" w:hAnsi="宋体" w:eastAsia="仿宋_GB2312" w:cs="宋体"/>
          <w:kern w:val="0"/>
          <w:sz w:val="32"/>
          <w:szCs w:val="32"/>
          <w:lang w:eastAsia="zh-CN"/>
        </w:rPr>
        <w:t>一般公共预算支出</w:t>
      </w:r>
      <w:r>
        <w:rPr>
          <w:rFonts w:hint="eastAsia" w:ascii="仿宋_GB2312" w:hAnsi="宋体" w:eastAsia="仿宋_GB2312" w:cs="宋体"/>
          <w:kern w:val="0"/>
          <w:sz w:val="32"/>
          <w:szCs w:val="32"/>
        </w:rPr>
        <w:t>包括：一般公共服务支出</w:t>
      </w:r>
      <w:r>
        <w:rPr>
          <w:rFonts w:hint="eastAsia" w:ascii="仿宋_GB2312" w:hAnsi="宋体" w:eastAsia="仿宋_GB2312" w:cs="宋体"/>
          <w:kern w:val="0"/>
          <w:sz w:val="32"/>
          <w:szCs w:val="32"/>
          <w:lang w:val="en-US" w:eastAsia="zh-CN"/>
        </w:rPr>
        <w:t>585.21</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万元，主要用于人员经费和项目经费支出。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宋体" w:eastAsia="黑体" w:cs="宋体"/>
          <w:kern w:val="0"/>
          <w:sz w:val="32"/>
          <w:szCs w:val="32"/>
        </w:rPr>
      </w:pPr>
      <w:r>
        <w:rPr>
          <w:rFonts w:hint="eastAsia" w:ascii="黑体" w:hAnsi="宋体" w:eastAsia="黑体" w:cs="宋体"/>
          <w:kern w:val="0"/>
          <w:sz w:val="32"/>
          <w:szCs w:val="32"/>
        </w:rPr>
        <w:t>五、关于克</w:t>
      </w:r>
      <w:r>
        <w:rPr>
          <w:rFonts w:hint="eastAsia" w:ascii="黑体" w:hAnsi="宋体" w:eastAsia="黑体"/>
          <w:kern w:val="0"/>
          <w:sz w:val="32"/>
          <w:szCs w:val="32"/>
        </w:rPr>
        <w:t>孜勒苏柯尔克孜自治州生态环境局</w:t>
      </w:r>
      <w:r>
        <w:rPr>
          <w:rFonts w:ascii="黑体" w:hAnsi="宋体" w:eastAsia="黑体" w:cs="宋体"/>
          <w:kern w:val="0"/>
          <w:sz w:val="32"/>
          <w:szCs w:val="32"/>
        </w:rPr>
        <w:t>2021</w:t>
      </w:r>
      <w:r>
        <w:rPr>
          <w:rFonts w:hint="eastAsia" w:ascii="黑体" w:hAnsi="宋体" w:eastAsia="黑体" w:cs="宋体"/>
          <w:kern w:val="0"/>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克</w:t>
      </w:r>
      <w:r>
        <w:rPr>
          <w:rFonts w:hint="eastAsia" w:ascii="仿宋_GB2312" w:hAnsi="宋体" w:eastAsia="仿宋_GB2312"/>
          <w:color w:val="000000" w:themeColor="text1"/>
          <w:kern w:val="0"/>
          <w:sz w:val="32"/>
          <w:szCs w:val="32"/>
          <w14:textFill>
            <w14:solidFill>
              <w14:schemeClr w14:val="tx1"/>
            </w14:solidFill>
          </w14:textFill>
        </w:rPr>
        <w:t>孜勒苏柯尔克孜自治州生态环境局</w:t>
      </w:r>
      <w:r>
        <w:rPr>
          <w:rFonts w:ascii="仿宋_GB2312" w:hAnsi="宋体" w:eastAsia="仿宋_GB2312" w:cs="宋体"/>
          <w:color w:val="000000" w:themeColor="text1"/>
          <w:kern w:val="0"/>
          <w:sz w:val="32"/>
          <w:szCs w:val="32"/>
          <w14:textFill>
            <w14:solidFill>
              <w14:schemeClr w14:val="tx1"/>
            </w14:solidFill>
          </w14:textFill>
        </w:rPr>
        <w:t>2021</w:t>
      </w:r>
      <w:r>
        <w:rPr>
          <w:rFonts w:hint="eastAsia" w:ascii="仿宋_GB2312" w:hAnsi="宋体" w:eastAsia="仿宋_GB2312" w:cs="宋体"/>
          <w:color w:val="000000" w:themeColor="text1"/>
          <w:kern w:val="0"/>
          <w:sz w:val="32"/>
          <w:szCs w:val="32"/>
          <w14:textFill>
            <w14:solidFill>
              <w14:schemeClr w14:val="tx1"/>
            </w14:solidFill>
          </w14:textFill>
        </w:rPr>
        <w:t>年一般公共预算拨款</w:t>
      </w:r>
      <w:r>
        <w:rPr>
          <w:rFonts w:hint="eastAsia" w:ascii="仿宋_GB2312" w:hAnsi="宋体" w:eastAsia="仿宋_GB2312" w:cs="宋体"/>
          <w:color w:val="000000" w:themeColor="text1"/>
          <w:kern w:val="0"/>
          <w:sz w:val="32"/>
          <w:szCs w:val="32"/>
          <w:lang w:eastAsia="zh-CN"/>
          <w14:textFill>
            <w14:solidFill>
              <w14:schemeClr w14:val="tx1"/>
            </w14:solidFill>
          </w14:textFill>
        </w:rPr>
        <w:t>合计</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585.21万元，其中：</w:t>
      </w:r>
      <w:r>
        <w:rPr>
          <w:rFonts w:hint="eastAsia" w:ascii="仿宋_GB2312" w:hAnsi="宋体" w:eastAsia="仿宋_GB2312" w:cs="宋体"/>
          <w:color w:val="000000" w:themeColor="text1"/>
          <w:kern w:val="0"/>
          <w:sz w:val="32"/>
          <w:szCs w:val="32"/>
          <w14:textFill>
            <w14:solidFill>
              <w14:schemeClr w14:val="tx1"/>
            </w14:solidFill>
          </w14:textFill>
        </w:rPr>
        <w:t>基本支出</w:t>
      </w:r>
      <w:r>
        <w:rPr>
          <w:rFonts w:ascii="仿宋_GB2312" w:hAnsi="宋体" w:eastAsia="仿宋_GB2312" w:cs="宋体"/>
          <w:color w:val="000000" w:themeColor="text1"/>
          <w:kern w:val="0"/>
          <w:sz w:val="32"/>
          <w:szCs w:val="32"/>
          <w14:textFill>
            <w14:solidFill>
              <w14:schemeClr w14:val="tx1"/>
            </w14:solidFill>
          </w14:textFill>
        </w:rPr>
        <w:t>507.21</w:t>
      </w:r>
      <w:r>
        <w:rPr>
          <w:rFonts w:hint="eastAsia" w:ascii="仿宋_GB2312" w:hAnsi="宋体" w:eastAsia="仿宋_GB2312" w:cs="宋体"/>
          <w:color w:val="000000" w:themeColor="text1"/>
          <w:kern w:val="0"/>
          <w:sz w:val="32"/>
          <w:szCs w:val="32"/>
          <w14:textFill>
            <w14:solidFill>
              <w14:schemeClr w14:val="tx1"/>
            </w14:solidFill>
          </w14:textFill>
        </w:rPr>
        <w:t>万元，比</w:t>
      </w:r>
      <w:r>
        <w:rPr>
          <w:rFonts w:hint="eastAsia" w:ascii="仿宋_GB2312" w:hAnsi="宋体" w:eastAsia="仿宋_GB2312" w:cs="宋体"/>
          <w:color w:val="auto"/>
          <w:kern w:val="0"/>
          <w:sz w:val="32"/>
          <w:szCs w:val="32"/>
        </w:rPr>
        <w:t>上年</w:t>
      </w:r>
      <w:r>
        <w:rPr>
          <w:rFonts w:hint="eastAsia" w:ascii="仿宋_GB2312" w:hAnsi="宋体" w:eastAsia="仿宋_GB2312" w:cs="宋体"/>
          <w:color w:val="auto"/>
          <w:kern w:val="0"/>
          <w:sz w:val="32"/>
          <w:szCs w:val="32"/>
          <w:lang w:eastAsia="zh-CN"/>
        </w:rPr>
        <w:t>预算增加</w:t>
      </w:r>
      <w:r>
        <w:rPr>
          <w:rFonts w:hint="eastAsia" w:ascii="仿宋_GB2312" w:hAnsi="宋体" w:eastAsia="仿宋_GB2312" w:cs="宋体"/>
          <w:color w:val="auto"/>
          <w:kern w:val="0"/>
          <w:sz w:val="32"/>
          <w:szCs w:val="32"/>
          <w:lang w:val="en-US" w:eastAsia="zh-CN"/>
        </w:rPr>
        <w:t>15.91万元，增长3.04</w:t>
      </w:r>
      <w:r>
        <w:rPr>
          <w:rFonts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主要原因是增加了人员经费。项目支出</w:t>
      </w:r>
      <w:r>
        <w:rPr>
          <w:rFonts w:hint="eastAsia" w:ascii="仿宋_GB2312" w:hAnsi="宋体" w:eastAsia="仿宋_GB2312" w:cs="宋体"/>
          <w:color w:val="auto"/>
          <w:kern w:val="0"/>
          <w:sz w:val="32"/>
          <w:szCs w:val="32"/>
          <w:lang w:val="en-US" w:eastAsia="zh-CN"/>
        </w:rPr>
        <w:t>78万元，比上年预算减少46.61万元，下降 62.59%</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 xml:space="preserve">，主要原因是减少了三线一单和空气自动站项目支出。 </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节能环保支出（</w:t>
      </w:r>
      <w:r>
        <w:rPr>
          <w:rFonts w:ascii="仿宋_GB2312" w:hAnsi="宋体" w:eastAsia="仿宋_GB2312"/>
          <w:color w:val="000000"/>
          <w:kern w:val="0"/>
          <w:sz w:val="32"/>
          <w:szCs w:val="32"/>
        </w:rPr>
        <w:t>211</w:t>
      </w: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580.01</w:t>
      </w:r>
      <w:r>
        <w:rPr>
          <w:rFonts w:hint="eastAsia" w:ascii="仿宋_GB2312" w:hAnsi="宋体" w:eastAsia="仿宋_GB2312"/>
          <w:color w:val="000000"/>
          <w:kern w:val="0"/>
          <w:sz w:val="32"/>
          <w:szCs w:val="32"/>
        </w:rPr>
        <w:t>万元，占</w:t>
      </w:r>
      <w:r>
        <w:rPr>
          <w:rFonts w:ascii="仿宋_GB2312" w:hAnsi="宋体" w:eastAsia="仿宋_GB2312"/>
          <w:color w:val="000000"/>
          <w:kern w:val="0"/>
          <w:sz w:val="32"/>
          <w:szCs w:val="32"/>
        </w:rPr>
        <w:t>99.11%</w:t>
      </w:r>
      <w:r>
        <w:rPr>
          <w:rFonts w:hint="eastAsia" w:ascii="仿宋_GB2312" w:hAnsi="宋体" w:eastAsia="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教育支出（</w:t>
      </w:r>
      <w:r>
        <w:rPr>
          <w:rFonts w:ascii="仿宋_GB2312" w:hAnsi="宋体" w:eastAsia="仿宋_GB2312" w:cs="宋体"/>
          <w:kern w:val="0"/>
          <w:sz w:val="32"/>
          <w:szCs w:val="32"/>
        </w:rPr>
        <w:t>205</w:t>
      </w:r>
      <w:r>
        <w:rPr>
          <w:rFonts w:hint="eastAsia" w:ascii="仿宋_GB2312" w:hAnsi="宋体" w:eastAsia="仿宋_GB2312" w:cs="宋体"/>
          <w:kern w:val="0"/>
          <w:sz w:val="32"/>
          <w:szCs w:val="32"/>
        </w:rPr>
        <w:t>）</w:t>
      </w:r>
      <w:r>
        <w:rPr>
          <w:rFonts w:ascii="仿宋_GB2312" w:hAnsi="宋体" w:eastAsia="仿宋_GB2312" w:cs="宋体"/>
          <w:kern w:val="0"/>
          <w:sz w:val="32"/>
          <w:szCs w:val="32"/>
        </w:rPr>
        <w:t>5.2</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0.89%</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olor w:val="auto"/>
          <w:kern w:val="0"/>
          <w:sz w:val="32"/>
          <w:szCs w:val="32"/>
        </w:rPr>
      </w:pPr>
      <w:r>
        <w:rPr>
          <w:rFonts w:hint="eastAsia" w:ascii="仿宋_GB2312" w:hAnsi="宋体" w:eastAsia="仿宋_GB2312"/>
          <w:color w:val="000000"/>
          <w:kern w:val="0"/>
          <w:sz w:val="32"/>
          <w:szCs w:val="32"/>
        </w:rPr>
        <w:t>节能环保支出（</w:t>
      </w:r>
      <w:r>
        <w:rPr>
          <w:rFonts w:ascii="仿宋_GB2312" w:hAnsi="宋体" w:eastAsia="仿宋_GB2312"/>
          <w:color w:val="000000"/>
          <w:kern w:val="0"/>
          <w:sz w:val="32"/>
          <w:szCs w:val="32"/>
        </w:rPr>
        <w:t>211</w:t>
      </w:r>
      <w:r>
        <w:rPr>
          <w:rFonts w:hint="eastAsia" w:ascii="仿宋_GB2312" w:hAnsi="宋体" w:eastAsia="仿宋_GB2312"/>
          <w:color w:val="000000"/>
          <w:kern w:val="0"/>
          <w:sz w:val="32"/>
          <w:szCs w:val="32"/>
        </w:rPr>
        <w:t>）环境保护管理事务（</w:t>
      </w:r>
      <w:r>
        <w:rPr>
          <w:rFonts w:ascii="仿宋_GB2312" w:hAnsi="宋体" w:eastAsia="仿宋_GB2312"/>
          <w:color w:val="000000"/>
          <w:kern w:val="0"/>
          <w:sz w:val="32"/>
          <w:szCs w:val="32"/>
        </w:rPr>
        <w:t>01</w:t>
      </w:r>
      <w:r>
        <w:rPr>
          <w:rFonts w:hint="eastAsia" w:ascii="仿宋_GB2312" w:hAnsi="宋体" w:eastAsia="仿宋_GB2312"/>
          <w:color w:val="000000"/>
          <w:kern w:val="0"/>
          <w:sz w:val="32"/>
          <w:szCs w:val="32"/>
        </w:rPr>
        <w:t>）行政运行（</w:t>
      </w:r>
      <w:r>
        <w:rPr>
          <w:rFonts w:ascii="仿宋_GB2312" w:hAnsi="宋体" w:eastAsia="仿宋_GB2312"/>
          <w:color w:val="000000"/>
          <w:kern w:val="0"/>
          <w:sz w:val="32"/>
          <w:szCs w:val="32"/>
        </w:rPr>
        <w:t>01</w:t>
      </w: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502.01</w:t>
      </w:r>
      <w:r>
        <w:rPr>
          <w:rFonts w:hint="eastAsia" w:ascii="仿宋_GB2312" w:hAnsi="宋体" w:eastAsia="仿宋_GB2312"/>
          <w:color w:val="000000"/>
          <w:kern w:val="0"/>
          <w:sz w:val="32"/>
          <w:szCs w:val="32"/>
        </w:rPr>
        <w:t>万元，比上年</w:t>
      </w:r>
      <w:r>
        <w:rPr>
          <w:rFonts w:hint="eastAsia" w:ascii="仿宋_GB2312" w:hAnsi="宋体" w:eastAsia="仿宋_GB2312"/>
          <w:color w:val="000000"/>
          <w:kern w:val="0"/>
          <w:sz w:val="32"/>
          <w:szCs w:val="32"/>
          <w:lang w:eastAsia="zh-CN"/>
        </w:rPr>
        <w:t>预算减少</w:t>
      </w:r>
      <w:r>
        <w:rPr>
          <w:rFonts w:hint="eastAsia" w:ascii="仿宋_GB2312" w:hAnsi="宋体" w:eastAsia="仿宋_GB2312"/>
          <w:color w:val="auto"/>
          <w:kern w:val="0"/>
          <w:sz w:val="32"/>
          <w:szCs w:val="32"/>
          <w:lang w:val="en-US" w:eastAsia="zh-CN"/>
        </w:rPr>
        <w:t>67.29</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lang w:eastAsia="zh-CN"/>
        </w:rPr>
        <w:t>减少</w:t>
      </w:r>
      <w:r>
        <w:rPr>
          <w:rFonts w:hint="eastAsia" w:ascii="仿宋_GB2312" w:hAnsi="宋体" w:eastAsia="仿宋_GB2312"/>
          <w:color w:val="auto"/>
          <w:kern w:val="0"/>
          <w:sz w:val="32"/>
          <w:szCs w:val="32"/>
          <w:lang w:val="en-US" w:eastAsia="zh-CN"/>
        </w:rPr>
        <w:t>12.82</w:t>
      </w:r>
      <w:r>
        <w:rPr>
          <w:rFonts w:ascii="仿宋_GB2312" w:hAnsi="宋体" w:eastAsia="仿宋_GB2312"/>
          <w:color w:val="auto"/>
          <w:kern w:val="0"/>
          <w:sz w:val="32"/>
          <w:szCs w:val="32"/>
        </w:rPr>
        <w:t>%</w:t>
      </w:r>
      <w:r>
        <w:rPr>
          <w:rFonts w:hint="eastAsia" w:ascii="仿宋_GB2312" w:hAnsi="宋体" w:eastAsia="仿宋_GB2312"/>
          <w:color w:val="auto"/>
          <w:kern w:val="0"/>
          <w:sz w:val="32"/>
          <w:szCs w:val="32"/>
        </w:rPr>
        <w:t>。主要原因是：</w:t>
      </w:r>
      <w:r>
        <w:rPr>
          <w:rFonts w:hint="eastAsia" w:ascii="仿宋_GB2312" w:hAnsi="宋体" w:eastAsia="仿宋_GB2312"/>
          <w:color w:val="auto"/>
          <w:kern w:val="0"/>
          <w:sz w:val="32"/>
          <w:szCs w:val="32"/>
          <w:lang w:eastAsia="zh-CN"/>
        </w:rPr>
        <w:t>减少三线一单等项目支出</w:t>
      </w:r>
      <w:r>
        <w:rPr>
          <w:rFonts w:hint="eastAsia" w:ascii="仿宋_GB2312" w:hAnsi="宋体" w:eastAsia="仿宋_GB2312"/>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节能环保支出（</w:t>
      </w:r>
      <w:r>
        <w:rPr>
          <w:rFonts w:ascii="仿宋_GB2312" w:hAnsi="宋体" w:eastAsia="仿宋_GB2312"/>
          <w:color w:val="000000"/>
          <w:kern w:val="0"/>
          <w:sz w:val="32"/>
          <w:szCs w:val="32"/>
        </w:rPr>
        <w:t>211</w:t>
      </w:r>
      <w:r>
        <w:rPr>
          <w:rFonts w:hint="eastAsia" w:ascii="仿宋_GB2312" w:hAnsi="宋体" w:eastAsia="仿宋_GB2312"/>
          <w:color w:val="000000"/>
          <w:kern w:val="0"/>
          <w:sz w:val="32"/>
          <w:szCs w:val="32"/>
        </w:rPr>
        <w:t>）环境保护管理事务（</w:t>
      </w:r>
      <w:r>
        <w:rPr>
          <w:rFonts w:ascii="仿宋_GB2312" w:hAnsi="宋体" w:eastAsia="仿宋_GB2312"/>
          <w:color w:val="000000"/>
          <w:kern w:val="0"/>
          <w:sz w:val="32"/>
          <w:szCs w:val="32"/>
        </w:rPr>
        <w:t>01</w:t>
      </w:r>
      <w:r>
        <w:rPr>
          <w:rFonts w:hint="eastAsia" w:ascii="仿宋_GB2312" w:hAnsi="宋体" w:eastAsia="仿宋_GB2312"/>
          <w:color w:val="000000"/>
          <w:kern w:val="0"/>
          <w:sz w:val="32"/>
          <w:szCs w:val="32"/>
        </w:rPr>
        <w:t>）其他环境保护管理事务支出（</w:t>
      </w:r>
      <w:r>
        <w:rPr>
          <w:rFonts w:ascii="仿宋_GB2312" w:hAnsi="宋体" w:eastAsia="仿宋_GB2312"/>
          <w:color w:val="000000"/>
          <w:kern w:val="0"/>
          <w:sz w:val="32"/>
          <w:szCs w:val="32"/>
        </w:rPr>
        <w:t>99</w:t>
      </w: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78</w:t>
      </w:r>
      <w:r>
        <w:rPr>
          <w:rFonts w:hint="eastAsia" w:ascii="仿宋_GB2312" w:hAnsi="宋体" w:eastAsia="仿宋_GB2312"/>
          <w:color w:val="000000"/>
          <w:kern w:val="0"/>
          <w:sz w:val="32"/>
          <w:szCs w:val="32"/>
        </w:rPr>
        <w:t>万元，比</w:t>
      </w:r>
      <w:r>
        <w:rPr>
          <w:rFonts w:hint="eastAsia" w:ascii="仿宋_GB2312" w:hAnsi="宋体" w:eastAsia="仿宋_GB2312"/>
          <w:color w:val="auto"/>
          <w:kern w:val="0"/>
          <w:sz w:val="32"/>
          <w:szCs w:val="32"/>
        </w:rPr>
        <w:t>上年</w:t>
      </w:r>
      <w:r>
        <w:rPr>
          <w:rFonts w:hint="eastAsia" w:ascii="仿宋_GB2312" w:hAnsi="宋体" w:eastAsia="仿宋_GB2312"/>
          <w:color w:val="auto"/>
          <w:kern w:val="0"/>
          <w:sz w:val="32"/>
          <w:szCs w:val="32"/>
          <w:lang w:eastAsia="zh-CN"/>
        </w:rPr>
        <w:t>预算减少</w:t>
      </w:r>
      <w:r>
        <w:rPr>
          <w:rFonts w:hint="eastAsia" w:ascii="仿宋_GB2312" w:hAnsi="宋体" w:eastAsia="仿宋_GB2312"/>
          <w:color w:val="auto"/>
          <w:kern w:val="0"/>
          <w:sz w:val="32"/>
          <w:szCs w:val="32"/>
          <w:lang w:val="en-US" w:eastAsia="zh-CN"/>
        </w:rPr>
        <w:t>46.61</w:t>
      </w:r>
      <w:r>
        <w:rPr>
          <w:rFonts w:hint="eastAsia" w:ascii="仿宋_GB2312" w:hAnsi="宋体" w:eastAsia="仿宋_GB2312"/>
          <w:color w:val="auto"/>
          <w:kern w:val="0"/>
          <w:sz w:val="32"/>
          <w:szCs w:val="32"/>
        </w:rPr>
        <w:t>万元，减少</w:t>
      </w:r>
      <w:r>
        <w:rPr>
          <w:rFonts w:hint="eastAsia" w:ascii="仿宋_GB2312" w:hAnsi="宋体" w:eastAsia="仿宋_GB2312"/>
          <w:color w:val="auto"/>
          <w:kern w:val="0"/>
          <w:sz w:val="32"/>
          <w:szCs w:val="32"/>
          <w:lang w:val="en-US" w:eastAsia="zh-CN"/>
        </w:rPr>
        <w:t>62.59</w:t>
      </w:r>
      <w:r>
        <w:rPr>
          <w:rFonts w:ascii="仿宋_GB2312" w:hAnsi="宋体" w:eastAsia="仿宋_GB2312"/>
          <w:color w:val="auto"/>
          <w:kern w:val="0"/>
          <w:sz w:val="32"/>
          <w:szCs w:val="32"/>
        </w:rPr>
        <w:t>%</w:t>
      </w:r>
      <w:r>
        <w:rPr>
          <w:rFonts w:hint="eastAsia" w:ascii="仿宋_GB2312" w:hAnsi="宋体" w:eastAsia="仿宋_GB2312"/>
          <w:color w:val="auto"/>
          <w:kern w:val="0"/>
          <w:sz w:val="32"/>
          <w:szCs w:val="32"/>
        </w:rPr>
        <w:t>。主要原因是：减</w:t>
      </w:r>
      <w:r>
        <w:rPr>
          <w:rFonts w:hint="eastAsia" w:ascii="仿宋_GB2312" w:hAnsi="宋体" w:eastAsia="仿宋_GB2312"/>
          <w:color w:val="000000"/>
          <w:kern w:val="0"/>
          <w:sz w:val="32"/>
          <w:szCs w:val="32"/>
        </w:rPr>
        <w:t>少了三线一单项目支出。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olor w:val="000000"/>
          <w:kern w:val="0"/>
          <w:sz w:val="32"/>
          <w:szCs w:val="32"/>
          <w:lang w:val="en-US" w:eastAsia="zh-CN"/>
        </w:rPr>
      </w:pPr>
      <w:r>
        <w:rPr>
          <w:rFonts w:hint="eastAsia" w:ascii="仿宋_GB2312" w:hAnsi="宋体" w:eastAsia="仿宋_GB2312"/>
          <w:color w:val="000000"/>
          <w:kern w:val="0"/>
          <w:sz w:val="32"/>
          <w:szCs w:val="32"/>
        </w:rPr>
        <w:t>教育支出（</w:t>
      </w:r>
      <w:r>
        <w:rPr>
          <w:rFonts w:ascii="仿宋_GB2312" w:hAnsi="宋体" w:eastAsia="仿宋_GB2312"/>
          <w:color w:val="000000"/>
          <w:kern w:val="0"/>
          <w:sz w:val="32"/>
          <w:szCs w:val="32"/>
        </w:rPr>
        <w:t>205</w:t>
      </w:r>
      <w:r>
        <w:rPr>
          <w:rFonts w:hint="eastAsia" w:ascii="仿宋_GB2312" w:hAnsi="宋体" w:eastAsia="仿宋_GB2312"/>
          <w:color w:val="000000"/>
          <w:kern w:val="0"/>
          <w:sz w:val="32"/>
          <w:szCs w:val="32"/>
        </w:rPr>
        <w:t>）普通教育（</w:t>
      </w:r>
      <w:r>
        <w:rPr>
          <w:rFonts w:ascii="仿宋_GB2312" w:hAnsi="宋体" w:eastAsia="仿宋_GB2312"/>
          <w:color w:val="000000"/>
          <w:kern w:val="0"/>
          <w:sz w:val="32"/>
          <w:szCs w:val="32"/>
        </w:rPr>
        <w:t>02</w:t>
      </w:r>
      <w:r>
        <w:rPr>
          <w:rFonts w:hint="eastAsia" w:ascii="仿宋_GB2312" w:hAnsi="宋体" w:eastAsia="仿宋_GB2312"/>
          <w:color w:val="000000"/>
          <w:kern w:val="0"/>
          <w:sz w:val="32"/>
          <w:szCs w:val="32"/>
        </w:rPr>
        <w:t>）学前教育（</w:t>
      </w:r>
      <w:r>
        <w:rPr>
          <w:rFonts w:ascii="仿宋_GB2312" w:hAnsi="宋体" w:eastAsia="仿宋_GB2312"/>
          <w:color w:val="000000"/>
          <w:kern w:val="0"/>
          <w:sz w:val="32"/>
          <w:szCs w:val="32"/>
        </w:rPr>
        <w:t>01</w:t>
      </w:r>
      <w:r>
        <w:rPr>
          <w:rFonts w:hint="eastAsia" w:ascii="仿宋_GB2312" w:hAnsi="宋体" w:eastAsia="仿宋_GB2312"/>
          <w:color w:val="000000"/>
          <w:kern w:val="0"/>
          <w:sz w:val="32"/>
          <w:szCs w:val="32"/>
        </w:rPr>
        <w:t>）</w:t>
      </w:r>
      <w:r>
        <w:rPr>
          <w:rFonts w:ascii="仿宋_GB2312" w:hAnsi="宋体" w:eastAsia="仿宋_GB2312"/>
          <w:color w:val="000000"/>
          <w:kern w:val="0"/>
          <w:sz w:val="32"/>
          <w:szCs w:val="32"/>
        </w:rPr>
        <w:t>5.2</w:t>
      </w:r>
      <w:r>
        <w:rPr>
          <w:rFonts w:hint="eastAsia" w:ascii="仿宋_GB2312" w:hAnsi="宋体" w:eastAsia="仿宋_GB2312"/>
          <w:color w:val="000000"/>
          <w:kern w:val="0"/>
          <w:sz w:val="32"/>
          <w:szCs w:val="32"/>
        </w:rPr>
        <w:t>万元，比上年</w:t>
      </w:r>
      <w:r>
        <w:rPr>
          <w:rFonts w:hint="eastAsia" w:ascii="仿宋_GB2312" w:hAnsi="宋体" w:eastAsia="仿宋_GB2312"/>
          <w:color w:val="000000"/>
          <w:kern w:val="0"/>
          <w:sz w:val="32"/>
          <w:szCs w:val="32"/>
          <w:lang w:eastAsia="zh-CN"/>
        </w:rPr>
        <w:t>预算增加</w:t>
      </w:r>
      <w:r>
        <w:rPr>
          <w:rFonts w:hint="eastAsia" w:ascii="仿宋_GB2312" w:hAnsi="宋体" w:eastAsia="仿宋_GB2312"/>
          <w:color w:val="000000"/>
          <w:kern w:val="0"/>
          <w:sz w:val="32"/>
          <w:szCs w:val="32"/>
          <w:lang w:val="en-US" w:eastAsia="zh-CN"/>
        </w:rPr>
        <w:t>0</w:t>
      </w:r>
      <w:r>
        <w:rPr>
          <w:rFonts w:hint="eastAsia" w:ascii="仿宋_GB2312" w:hAnsi="宋体" w:eastAsia="仿宋_GB2312"/>
          <w:color w:val="000000"/>
          <w:kern w:val="0"/>
          <w:sz w:val="32"/>
          <w:szCs w:val="32"/>
        </w:rPr>
        <w:t>万元</w:t>
      </w:r>
      <w:r>
        <w:rPr>
          <w:rFonts w:hint="eastAsia" w:ascii="仿宋_GB2312" w:hAnsi="宋体" w:eastAsia="仿宋_GB2312"/>
          <w:color w:val="000000"/>
          <w:kern w:val="0"/>
          <w:sz w:val="32"/>
          <w:szCs w:val="32"/>
          <w:lang w:val="en-US" w:eastAsia="zh-CN"/>
        </w:rPr>
        <w:t>,主要原因是：支教人员没有变化。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宋体" w:eastAsia="黑体" w:cs="宋体"/>
          <w:kern w:val="0"/>
          <w:sz w:val="32"/>
          <w:szCs w:val="32"/>
        </w:rPr>
      </w:pPr>
      <w:r>
        <w:rPr>
          <w:rFonts w:hint="eastAsia" w:ascii="黑体" w:hAnsi="宋体" w:eastAsia="黑体" w:cs="宋体"/>
          <w:kern w:val="0"/>
          <w:sz w:val="32"/>
          <w:szCs w:val="32"/>
        </w:rPr>
        <w:t>六、关于克</w:t>
      </w:r>
      <w:r>
        <w:rPr>
          <w:rFonts w:hint="eastAsia" w:ascii="黑体" w:hAnsi="宋体" w:eastAsia="黑体"/>
          <w:kern w:val="0"/>
          <w:sz w:val="32"/>
          <w:szCs w:val="32"/>
        </w:rPr>
        <w:t>孜勒苏柯尔克孜自治州生态环境局</w:t>
      </w:r>
      <w:r>
        <w:rPr>
          <w:rFonts w:hint="eastAsia" w:ascii="黑体" w:hAnsi="宋体" w:eastAsia="黑体" w:cs="宋体"/>
          <w:kern w:val="0"/>
          <w:sz w:val="32"/>
          <w:szCs w:val="32"/>
        </w:rPr>
        <w:t>部门（单位）</w:t>
      </w:r>
      <w:r>
        <w:rPr>
          <w:rFonts w:ascii="黑体" w:hAnsi="宋体" w:eastAsia="黑体" w:cs="宋体"/>
          <w:kern w:val="0"/>
          <w:sz w:val="32"/>
          <w:szCs w:val="32"/>
        </w:rPr>
        <w:t>2021</w:t>
      </w:r>
      <w:r>
        <w:rPr>
          <w:rFonts w:hint="eastAsia" w:ascii="黑体" w:hAnsi="宋体" w:eastAsia="黑体" w:cs="宋体"/>
          <w:kern w:val="0"/>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克</w:t>
      </w:r>
      <w:r>
        <w:rPr>
          <w:rFonts w:hint="eastAsia" w:ascii="仿宋_GB2312" w:hAnsi="宋体" w:eastAsia="仿宋_GB2312"/>
          <w:kern w:val="0"/>
          <w:sz w:val="32"/>
          <w:szCs w:val="32"/>
        </w:rPr>
        <w:t>孜勒苏柯尔克孜自治州生态环境局</w:t>
      </w:r>
      <w:r>
        <w:rPr>
          <w:rFonts w:hint="eastAsia" w:ascii="仿宋_GB2312" w:hAnsi="宋体" w:eastAsia="仿宋_GB2312" w:cs="宋体"/>
          <w:kern w:val="0"/>
          <w:sz w:val="32"/>
          <w:szCs w:val="32"/>
        </w:rPr>
        <w:t>部门（单位）</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507.21</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其中：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474.96</w:t>
      </w:r>
      <w:r>
        <w:rPr>
          <w:rFonts w:hint="eastAsia" w:ascii="仿宋_GB2312" w:hAnsi="宋体" w:eastAsia="仿宋_GB2312" w:cs="宋体"/>
          <w:kern w:val="0"/>
          <w:sz w:val="32"/>
          <w:szCs w:val="32"/>
        </w:rPr>
        <w:t>万元，主要包括：基本工资</w:t>
      </w:r>
      <w:r>
        <w:rPr>
          <w:rFonts w:ascii="仿宋_GB2312" w:hAnsi="宋体" w:eastAsia="仿宋_GB2312" w:cs="宋体"/>
          <w:kern w:val="0"/>
          <w:sz w:val="32"/>
          <w:szCs w:val="32"/>
        </w:rPr>
        <w:t>138.94</w:t>
      </w:r>
      <w:r>
        <w:rPr>
          <w:rFonts w:hint="eastAsia" w:ascii="仿宋_GB2312" w:hAnsi="宋体" w:eastAsia="仿宋_GB2312" w:cs="宋体"/>
          <w:kern w:val="0"/>
          <w:sz w:val="32"/>
          <w:szCs w:val="32"/>
        </w:rPr>
        <w:t>万元、津贴补贴</w:t>
      </w:r>
      <w:r>
        <w:rPr>
          <w:rFonts w:ascii="仿宋_GB2312" w:hAnsi="宋体" w:eastAsia="仿宋_GB2312" w:cs="宋体"/>
          <w:kern w:val="0"/>
          <w:sz w:val="32"/>
          <w:szCs w:val="32"/>
        </w:rPr>
        <w:t>162.40</w:t>
      </w:r>
      <w:r>
        <w:rPr>
          <w:rFonts w:hint="eastAsia" w:ascii="仿宋_GB2312" w:hAnsi="宋体" w:eastAsia="仿宋_GB2312" w:cs="宋体"/>
          <w:kern w:val="0"/>
          <w:sz w:val="32"/>
          <w:szCs w:val="32"/>
        </w:rPr>
        <w:t>万元、奖金</w:t>
      </w:r>
      <w:r>
        <w:rPr>
          <w:rFonts w:ascii="仿宋_GB2312" w:hAnsi="宋体" w:eastAsia="仿宋_GB2312" w:cs="宋体"/>
          <w:kern w:val="0"/>
          <w:sz w:val="32"/>
          <w:szCs w:val="32"/>
        </w:rPr>
        <w:t>18.36</w:t>
      </w:r>
      <w:r>
        <w:rPr>
          <w:rFonts w:hint="eastAsia" w:ascii="仿宋_GB2312" w:hAnsi="宋体" w:eastAsia="仿宋_GB2312" w:cs="宋体"/>
          <w:kern w:val="0"/>
          <w:sz w:val="32"/>
          <w:szCs w:val="32"/>
        </w:rPr>
        <w:t>万元、机关事业单位基本养老保险缴费</w:t>
      </w:r>
      <w:r>
        <w:rPr>
          <w:rFonts w:ascii="仿宋_GB2312" w:hAnsi="宋体" w:eastAsia="仿宋_GB2312" w:cs="宋体"/>
          <w:kern w:val="0"/>
          <w:sz w:val="32"/>
          <w:szCs w:val="32"/>
        </w:rPr>
        <w:t>44.39</w:t>
      </w:r>
      <w:r>
        <w:rPr>
          <w:rFonts w:hint="eastAsia" w:ascii="仿宋_GB2312" w:hAnsi="宋体" w:eastAsia="仿宋_GB2312" w:cs="宋体"/>
          <w:kern w:val="0"/>
          <w:sz w:val="32"/>
          <w:szCs w:val="32"/>
        </w:rPr>
        <w:t>万元、其他社会保障缴费</w:t>
      </w:r>
      <w:r>
        <w:rPr>
          <w:rFonts w:ascii="仿宋_GB2312" w:hAnsi="宋体" w:eastAsia="仿宋_GB2312" w:cs="宋体"/>
          <w:kern w:val="0"/>
          <w:sz w:val="32"/>
          <w:szCs w:val="32"/>
        </w:rPr>
        <w:t>29.4</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万元、住房公积金</w:t>
      </w:r>
      <w:r>
        <w:rPr>
          <w:rFonts w:ascii="仿宋_GB2312" w:hAnsi="宋体" w:eastAsia="仿宋_GB2312" w:cs="宋体"/>
          <w:kern w:val="0"/>
          <w:sz w:val="32"/>
          <w:szCs w:val="32"/>
        </w:rPr>
        <w:t>31.86</w:t>
      </w:r>
      <w:r>
        <w:rPr>
          <w:rFonts w:hint="eastAsia" w:ascii="仿宋_GB2312" w:hAnsi="宋体" w:eastAsia="仿宋_GB2312" w:cs="宋体"/>
          <w:kern w:val="0"/>
          <w:sz w:val="32"/>
          <w:szCs w:val="32"/>
        </w:rPr>
        <w:t>万元、退休费</w:t>
      </w:r>
      <w:r>
        <w:rPr>
          <w:rFonts w:ascii="仿宋_GB2312" w:hAnsi="宋体" w:eastAsia="仿宋_GB2312" w:cs="宋体"/>
          <w:kern w:val="0"/>
          <w:sz w:val="32"/>
          <w:szCs w:val="32"/>
        </w:rPr>
        <w:t>12.25</w:t>
      </w:r>
      <w:r>
        <w:rPr>
          <w:rFonts w:hint="eastAsia" w:ascii="仿宋_GB2312" w:hAnsi="宋体" w:eastAsia="仿宋_GB2312" w:cs="宋体"/>
          <w:kern w:val="0"/>
          <w:sz w:val="32"/>
          <w:szCs w:val="32"/>
        </w:rPr>
        <w:t>万元、生活补助</w:t>
      </w:r>
      <w:r>
        <w:rPr>
          <w:rFonts w:ascii="仿宋_GB2312" w:hAnsi="宋体" w:eastAsia="仿宋_GB2312" w:cs="宋体"/>
          <w:kern w:val="0"/>
          <w:sz w:val="32"/>
          <w:szCs w:val="32"/>
        </w:rPr>
        <w:t>0.44</w:t>
      </w:r>
      <w:r>
        <w:rPr>
          <w:rFonts w:hint="eastAsia" w:ascii="仿宋_GB2312" w:hAnsi="宋体" w:eastAsia="仿宋_GB2312" w:cs="宋体"/>
          <w:kern w:val="0"/>
          <w:sz w:val="32"/>
          <w:szCs w:val="32"/>
        </w:rPr>
        <w:t>万元、奖励金</w:t>
      </w:r>
      <w:r>
        <w:rPr>
          <w:rFonts w:ascii="仿宋_GB2312" w:hAnsi="宋体" w:eastAsia="仿宋_GB2312" w:cs="宋体"/>
          <w:kern w:val="0"/>
          <w:sz w:val="32"/>
          <w:szCs w:val="32"/>
        </w:rPr>
        <w:t>1.39</w:t>
      </w:r>
      <w:r>
        <w:rPr>
          <w:rFonts w:hint="eastAsia" w:ascii="仿宋_GB2312" w:hAnsi="宋体" w:eastAsia="仿宋_GB2312" w:cs="宋体"/>
          <w:kern w:val="0"/>
          <w:sz w:val="32"/>
          <w:szCs w:val="32"/>
        </w:rPr>
        <w:t>万元、其他对个人和家庭的补助</w:t>
      </w:r>
      <w:r>
        <w:rPr>
          <w:rFonts w:ascii="仿宋_GB2312" w:hAnsi="宋体" w:eastAsia="仿宋_GB2312" w:cs="宋体"/>
          <w:kern w:val="0"/>
          <w:sz w:val="32"/>
          <w:szCs w:val="32"/>
        </w:rPr>
        <w:t>35.44</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32.25</w:t>
      </w:r>
      <w:r>
        <w:rPr>
          <w:rFonts w:hint="eastAsia" w:ascii="仿宋_GB2312" w:hAnsi="宋体" w:eastAsia="仿宋_GB2312" w:cs="宋体"/>
          <w:kern w:val="0"/>
          <w:sz w:val="32"/>
          <w:szCs w:val="32"/>
        </w:rPr>
        <w:t>万元，主要包括：办公费</w:t>
      </w:r>
      <w:r>
        <w:rPr>
          <w:rFonts w:ascii="仿宋_GB2312" w:hAnsi="宋体" w:eastAsia="仿宋_GB2312" w:cs="宋体"/>
          <w:kern w:val="0"/>
          <w:sz w:val="32"/>
          <w:szCs w:val="32"/>
        </w:rPr>
        <w:t>3.5</w:t>
      </w:r>
      <w:r>
        <w:rPr>
          <w:rFonts w:hint="eastAsia" w:ascii="仿宋_GB2312" w:hAnsi="宋体" w:eastAsia="仿宋_GB2312" w:cs="宋体"/>
          <w:kern w:val="0"/>
          <w:sz w:val="32"/>
          <w:szCs w:val="32"/>
        </w:rPr>
        <w:t>万元、印刷费</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万元、水费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万元、电费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万元、取暖费</w:t>
      </w:r>
      <w:r>
        <w:rPr>
          <w:rFonts w:ascii="仿宋_GB2312" w:hAnsi="宋体" w:eastAsia="仿宋_GB2312" w:cs="宋体"/>
          <w:kern w:val="0"/>
          <w:sz w:val="32"/>
          <w:szCs w:val="32"/>
        </w:rPr>
        <w:t>3.33</w:t>
      </w:r>
      <w:r>
        <w:rPr>
          <w:rFonts w:hint="eastAsia" w:ascii="仿宋_GB2312" w:hAnsi="宋体" w:eastAsia="仿宋_GB2312" w:cs="宋体"/>
          <w:kern w:val="0"/>
          <w:sz w:val="32"/>
          <w:szCs w:val="32"/>
        </w:rPr>
        <w:t>万元、物业管理费</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万元、差旅费</w:t>
      </w:r>
      <w:r>
        <w:rPr>
          <w:rFonts w:ascii="仿宋_GB2312" w:hAnsi="宋体" w:eastAsia="仿宋_GB2312" w:cs="宋体"/>
          <w:kern w:val="0"/>
          <w:sz w:val="32"/>
          <w:szCs w:val="32"/>
        </w:rPr>
        <w:t>3</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3</w:t>
      </w:r>
      <w:r>
        <w:rPr>
          <w:rFonts w:hint="eastAsia" w:ascii="仿宋_GB2312" w:hAnsi="宋体" w:eastAsia="仿宋_GB2312" w:cs="宋体"/>
          <w:kern w:val="0"/>
          <w:sz w:val="32"/>
          <w:szCs w:val="32"/>
        </w:rPr>
        <w:t>万元、工会经费</w:t>
      </w:r>
      <w:r>
        <w:rPr>
          <w:rFonts w:ascii="仿宋_GB2312" w:hAnsi="宋体" w:eastAsia="仿宋_GB2312" w:cs="宋体"/>
          <w:kern w:val="0"/>
          <w:sz w:val="32"/>
          <w:szCs w:val="32"/>
        </w:rPr>
        <w:t>1.94</w:t>
      </w:r>
      <w:r>
        <w:rPr>
          <w:rFonts w:hint="eastAsia" w:ascii="仿宋_GB2312" w:hAnsi="宋体" w:eastAsia="仿宋_GB2312" w:cs="宋体"/>
          <w:kern w:val="0"/>
          <w:sz w:val="32"/>
          <w:szCs w:val="32"/>
        </w:rPr>
        <w:t>万元、福利费</w:t>
      </w:r>
      <w:r>
        <w:rPr>
          <w:rFonts w:ascii="仿宋_GB2312" w:hAnsi="宋体" w:eastAsia="仿宋_GB2312" w:cs="宋体"/>
          <w:kern w:val="0"/>
          <w:sz w:val="32"/>
          <w:szCs w:val="32"/>
        </w:rPr>
        <w:t>3.48</w:t>
      </w:r>
      <w:r>
        <w:rPr>
          <w:rFonts w:hint="eastAsia" w:ascii="仿宋_GB2312" w:hAnsi="宋体" w:eastAsia="仿宋_GB2312" w:cs="宋体"/>
          <w:kern w:val="0"/>
          <w:sz w:val="32"/>
          <w:szCs w:val="32"/>
        </w:rPr>
        <w:t>万元、公务用车运行维护费</w:t>
      </w:r>
      <w:r>
        <w:rPr>
          <w:rFonts w:ascii="仿宋_GB2312" w:hAnsi="宋体" w:eastAsia="仿宋_GB2312" w:cs="宋体"/>
          <w:kern w:val="0"/>
          <w:sz w:val="32"/>
          <w:szCs w:val="32"/>
        </w:rPr>
        <w:t>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宋体" w:eastAsia="黑体" w:cs="宋体"/>
          <w:kern w:val="0"/>
          <w:sz w:val="32"/>
          <w:szCs w:val="32"/>
        </w:rPr>
      </w:pPr>
      <w:r>
        <w:rPr>
          <w:rFonts w:hint="eastAsia" w:ascii="黑体" w:hAnsi="宋体" w:eastAsia="黑体" w:cs="宋体"/>
          <w:kern w:val="0"/>
          <w:sz w:val="32"/>
          <w:szCs w:val="32"/>
        </w:rPr>
        <w:t>关于克</w:t>
      </w:r>
      <w:r>
        <w:rPr>
          <w:rFonts w:hint="eastAsia" w:ascii="黑体" w:hAnsi="宋体" w:eastAsia="黑体"/>
          <w:kern w:val="0"/>
          <w:sz w:val="32"/>
          <w:szCs w:val="32"/>
        </w:rPr>
        <w:t>孜勒苏柯尔克孜自治州生态环境局</w:t>
      </w:r>
      <w:r>
        <w:rPr>
          <w:rFonts w:ascii="黑体" w:hAnsi="宋体" w:eastAsia="黑体" w:cs="宋体"/>
          <w:kern w:val="0"/>
          <w:sz w:val="32"/>
          <w:szCs w:val="32"/>
        </w:rPr>
        <w:t>2021</w:t>
      </w:r>
      <w:r>
        <w:rPr>
          <w:rFonts w:hint="eastAsia" w:ascii="黑体" w:hAnsi="宋体" w:eastAsia="黑体" w:cs="宋体"/>
          <w:kern w:val="0"/>
          <w:sz w:val="32"/>
          <w:szCs w:val="32"/>
        </w:rPr>
        <w:t>年一般公共预算项目支出情况说明</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 xml:space="preserve">  情况一：（项目支出、专项业务费按下列内容说明）</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ascii="仿宋_GB2312" w:hAnsi="宋体" w:eastAsia="仿宋_GB2312"/>
          <w:kern w:val="0"/>
          <w:sz w:val="32"/>
          <w:szCs w:val="32"/>
        </w:rPr>
      </w:pPr>
      <w:r>
        <w:rPr>
          <w:rFonts w:ascii="仿宋_GB2312" w:hAnsi="宋体" w:eastAsia="仿宋_GB2312"/>
          <w:kern w:val="0"/>
          <w:sz w:val="32"/>
          <w:szCs w:val="32"/>
        </w:rPr>
        <w:t>1.</w:t>
      </w:r>
      <w:r>
        <w:rPr>
          <w:rFonts w:hint="eastAsia" w:ascii="仿宋_GB2312" w:hAnsi="宋体" w:eastAsia="仿宋_GB2312"/>
          <w:kern w:val="0"/>
          <w:sz w:val="32"/>
          <w:szCs w:val="32"/>
        </w:rPr>
        <w:t>项目名称：专项业务费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ascii="仿宋_GB2312" w:hAnsi="宋体" w:eastAsia="仿宋_GB2312"/>
          <w:kern w:val="0"/>
          <w:sz w:val="32"/>
          <w:szCs w:val="32"/>
        </w:rPr>
      </w:pPr>
      <w:r>
        <w:rPr>
          <w:rFonts w:hint="eastAsia" w:ascii="仿宋_GB2312" w:hAnsi="宋体" w:eastAsia="仿宋_GB2312"/>
          <w:kern w:val="0"/>
          <w:sz w:val="32"/>
          <w:szCs w:val="32"/>
        </w:rPr>
        <w:t>设立的政策依据：用于解决环境保护业务费用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ascii="仿宋_GB2312" w:hAnsi="宋体" w:eastAsia="仿宋_GB2312"/>
          <w:kern w:val="0"/>
          <w:sz w:val="32"/>
          <w:szCs w:val="32"/>
        </w:rPr>
      </w:pPr>
      <w:r>
        <w:rPr>
          <w:rFonts w:hint="eastAsia" w:ascii="仿宋_GB2312" w:hAnsi="宋体" w:eastAsia="仿宋_GB2312"/>
          <w:kern w:val="0"/>
          <w:sz w:val="32"/>
          <w:szCs w:val="32"/>
        </w:rPr>
        <w:t>预算安排规模：</w:t>
      </w:r>
      <w:r>
        <w:rPr>
          <w:rFonts w:ascii="仿宋_GB2312" w:hAnsi="宋体" w:eastAsia="仿宋_GB2312"/>
          <w:kern w:val="0"/>
          <w:sz w:val="32"/>
          <w:szCs w:val="32"/>
        </w:rPr>
        <w:t>71.00</w:t>
      </w:r>
      <w:r>
        <w:rPr>
          <w:rFonts w:hint="eastAsia" w:ascii="仿宋_GB2312" w:hAnsi="宋体" w:eastAsia="仿宋_GB2312"/>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ascii="仿宋_GB2312" w:hAnsi="宋体" w:eastAsia="仿宋_GB2312"/>
          <w:color w:val="000000"/>
          <w:kern w:val="0"/>
          <w:sz w:val="32"/>
          <w:szCs w:val="32"/>
        </w:rPr>
      </w:pPr>
      <w:r>
        <w:rPr>
          <w:rFonts w:hint="eastAsia" w:ascii="仿宋_GB2312" w:hAnsi="宋体" w:eastAsia="仿宋_GB2312"/>
          <w:kern w:val="0"/>
          <w:sz w:val="32"/>
          <w:szCs w:val="32"/>
        </w:rPr>
        <w:t>项目承担单位：</w:t>
      </w:r>
      <w:r>
        <w:rPr>
          <w:rFonts w:hint="eastAsia" w:ascii="仿宋_GB2312" w:hAnsi="宋体" w:eastAsia="仿宋_GB2312"/>
          <w:color w:val="000000"/>
          <w:kern w:val="0"/>
          <w:sz w:val="32"/>
          <w:szCs w:val="32"/>
          <w:lang w:eastAsia="zh-CN"/>
        </w:rPr>
        <w:t>克孜勒苏柯尔克孜自治州</w:t>
      </w:r>
      <w:r>
        <w:rPr>
          <w:rFonts w:hint="eastAsia" w:ascii="仿宋_GB2312" w:hAnsi="宋体" w:eastAsia="仿宋_GB2312"/>
          <w:color w:val="000000"/>
          <w:kern w:val="0"/>
          <w:sz w:val="32"/>
          <w:szCs w:val="32"/>
        </w:rPr>
        <w:t>生态环境局</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资金分配情况：维修（护）费</w:t>
      </w:r>
      <w:r>
        <w:rPr>
          <w:rFonts w:ascii="仿宋_GB2312" w:hAnsi="宋体" w:eastAsia="仿宋_GB2312"/>
          <w:color w:val="000000"/>
          <w:kern w:val="0"/>
          <w:sz w:val="32"/>
          <w:szCs w:val="32"/>
        </w:rPr>
        <w:t>6.9</w:t>
      </w:r>
      <w:r>
        <w:rPr>
          <w:rFonts w:hint="eastAsia" w:ascii="仿宋_GB2312" w:hAnsi="宋体" w:eastAsia="仿宋_GB2312"/>
          <w:color w:val="000000"/>
          <w:kern w:val="0"/>
          <w:sz w:val="32"/>
          <w:szCs w:val="32"/>
        </w:rPr>
        <w:t>万元；公务用车运行维护费用</w:t>
      </w:r>
      <w:r>
        <w:rPr>
          <w:rFonts w:ascii="仿宋_GB2312" w:hAnsi="宋体" w:eastAsia="仿宋_GB2312"/>
          <w:color w:val="000000"/>
          <w:kern w:val="0"/>
          <w:sz w:val="32"/>
          <w:szCs w:val="32"/>
        </w:rPr>
        <w:t>18</w:t>
      </w:r>
      <w:r>
        <w:rPr>
          <w:rFonts w:hint="eastAsia" w:ascii="仿宋_GB2312" w:hAnsi="宋体" w:eastAsia="仿宋_GB2312"/>
          <w:color w:val="000000"/>
          <w:kern w:val="0"/>
          <w:sz w:val="32"/>
          <w:szCs w:val="32"/>
        </w:rPr>
        <w:t>万元；办公用品及设备采购</w:t>
      </w:r>
      <w:r>
        <w:rPr>
          <w:rFonts w:ascii="仿宋_GB2312" w:hAnsi="宋体" w:eastAsia="仿宋_GB2312"/>
          <w:color w:val="000000"/>
          <w:kern w:val="0"/>
          <w:sz w:val="32"/>
          <w:szCs w:val="32"/>
        </w:rPr>
        <w:t>46.1</w:t>
      </w:r>
      <w:r>
        <w:rPr>
          <w:rFonts w:hint="eastAsia" w:ascii="仿宋_GB2312" w:hAnsi="宋体" w:eastAsia="仿宋_GB2312"/>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ascii="仿宋_GB2312" w:hAnsi="宋体" w:eastAsia="仿宋_GB2312"/>
          <w:color w:val="000000"/>
          <w:kern w:val="0"/>
          <w:sz w:val="32"/>
          <w:szCs w:val="32"/>
        </w:rPr>
      </w:pPr>
      <w:r>
        <w:rPr>
          <w:rFonts w:hint="eastAsia" w:ascii="仿宋_GB2312" w:hAnsi="宋体" w:eastAsia="仿宋_GB2312"/>
          <w:kern w:val="0"/>
          <w:sz w:val="32"/>
          <w:szCs w:val="32"/>
        </w:rPr>
        <w:t>资金执行时间：</w:t>
      </w:r>
      <w:r>
        <w:rPr>
          <w:rFonts w:ascii="仿宋_GB2312" w:hAnsi="宋体" w:eastAsia="仿宋_GB2312"/>
          <w:kern w:val="0"/>
          <w:sz w:val="32"/>
          <w:szCs w:val="32"/>
        </w:rPr>
        <w:t>2021</w:t>
      </w:r>
      <w:r>
        <w:rPr>
          <w:rFonts w:hint="eastAsia" w:ascii="仿宋_GB2312" w:hAnsi="宋体" w:eastAsia="仿宋_GB2312"/>
          <w:kern w:val="0"/>
          <w:sz w:val="32"/>
          <w:szCs w:val="32"/>
        </w:rPr>
        <w:t>年</w:t>
      </w:r>
      <w:r>
        <w:rPr>
          <w:rFonts w:hint="eastAsia" w:ascii="仿宋_GB2312" w:hAnsi="宋体" w:eastAsia="仿宋_GB2312"/>
          <w:color w:val="000000"/>
          <w:kern w:val="0"/>
          <w:sz w:val="32"/>
          <w:szCs w:val="32"/>
        </w:rPr>
        <w:t>全年</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ascii="仿宋_GB2312" w:hAnsi="宋体" w:eastAsia="仿宋_GB2312"/>
          <w:color w:val="000000"/>
          <w:kern w:val="0"/>
          <w:sz w:val="32"/>
          <w:szCs w:val="32"/>
        </w:rPr>
      </w:pPr>
      <w:r>
        <w:rPr>
          <w:rFonts w:ascii="仿宋_GB2312" w:hAnsi="宋体" w:eastAsia="仿宋_GB2312"/>
          <w:kern w:val="0"/>
          <w:sz w:val="32"/>
          <w:szCs w:val="32"/>
        </w:rPr>
        <w:t>2.</w:t>
      </w:r>
      <w:r>
        <w:rPr>
          <w:rFonts w:hint="eastAsia" w:ascii="仿宋_GB2312" w:hAnsi="宋体" w:eastAsia="仿宋_GB2312"/>
          <w:kern w:val="0"/>
          <w:sz w:val="32"/>
          <w:szCs w:val="32"/>
        </w:rPr>
        <w:t>项目名称</w:t>
      </w:r>
      <w:r>
        <w:rPr>
          <w:rFonts w:hint="eastAsia" w:ascii="仿宋_GB2312" w:hAnsi="宋体" w:eastAsia="仿宋_GB2312"/>
          <w:color w:val="000000"/>
          <w:kern w:val="0"/>
          <w:sz w:val="32"/>
          <w:szCs w:val="32"/>
        </w:rPr>
        <w:t>：群众工作经费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ascii="仿宋_GB2312" w:hAnsi="宋体" w:eastAsia="仿宋_GB2312"/>
          <w:kern w:val="0"/>
          <w:sz w:val="32"/>
          <w:szCs w:val="32"/>
        </w:rPr>
      </w:pPr>
      <w:r>
        <w:rPr>
          <w:rFonts w:hint="eastAsia" w:ascii="仿宋_GB2312" w:hAnsi="宋体" w:eastAsia="仿宋_GB2312"/>
          <w:kern w:val="0"/>
          <w:sz w:val="32"/>
          <w:szCs w:val="32"/>
        </w:rPr>
        <w:t>设立的政策依据：因群众工作需要</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ascii="仿宋_GB2312" w:hAnsi="宋体" w:eastAsia="仿宋_GB2312"/>
          <w:kern w:val="0"/>
          <w:sz w:val="32"/>
          <w:szCs w:val="32"/>
        </w:rPr>
      </w:pPr>
      <w:r>
        <w:rPr>
          <w:rFonts w:hint="eastAsia" w:ascii="仿宋_GB2312" w:hAnsi="宋体" w:eastAsia="仿宋_GB2312"/>
          <w:kern w:val="0"/>
          <w:sz w:val="32"/>
          <w:szCs w:val="32"/>
        </w:rPr>
        <w:t>预算安排规模：</w:t>
      </w:r>
      <w:r>
        <w:rPr>
          <w:rFonts w:ascii="仿宋_GB2312" w:hAnsi="宋体" w:eastAsia="仿宋_GB2312"/>
          <w:kern w:val="0"/>
          <w:sz w:val="32"/>
          <w:szCs w:val="32"/>
        </w:rPr>
        <w:t>7.00</w:t>
      </w:r>
      <w:r>
        <w:rPr>
          <w:rFonts w:hint="eastAsia" w:ascii="仿宋_GB2312" w:hAnsi="宋体" w:eastAsia="仿宋_GB2312"/>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ascii="仿宋_GB2312" w:hAnsi="宋体" w:eastAsia="仿宋_GB2312"/>
          <w:color w:val="000000"/>
          <w:kern w:val="0"/>
          <w:sz w:val="32"/>
          <w:szCs w:val="32"/>
        </w:rPr>
      </w:pPr>
      <w:r>
        <w:rPr>
          <w:rFonts w:hint="eastAsia" w:ascii="仿宋_GB2312" w:hAnsi="宋体" w:eastAsia="仿宋_GB2312"/>
          <w:kern w:val="0"/>
          <w:sz w:val="32"/>
          <w:szCs w:val="32"/>
        </w:rPr>
        <w:t>项目承担单位：</w:t>
      </w:r>
      <w:r>
        <w:rPr>
          <w:rFonts w:hint="eastAsia" w:ascii="仿宋_GB2312" w:hAnsi="宋体" w:eastAsia="仿宋_GB2312"/>
          <w:color w:val="000000"/>
          <w:kern w:val="0"/>
          <w:sz w:val="32"/>
          <w:szCs w:val="32"/>
          <w:lang w:eastAsia="zh-CN"/>
        </w:rPr>
        <w:t>克孜勒苏柯尔克孜自治州</w:t>
      </w:r>
      <w:r>
        <w:rPr>
          <w:rFonts w:hint="eastAsia" w:ascii="仿宋_GB2312" w:hAnsi="宋体" w:eastAsia="仿宋_GB2312"/>
          <w:color w:val="000000"/>
          <w:kern w:val="0"/>
          <w:sz w:val="32"/>
          <w:szCs w:val="32"/>
        </w:rPr>
        <w:t>生态环境局</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ascii="仿宋_GB2312" w:hAnsi="宋体" w:eastAsia="仿宋_GB2312"/>
          <w:kern w:val="0"/>
          <w:sz w:val="32"/>
          <w:szCs w:val="32"/>
        </w:rPr>
      </w:pPr>
      <w:r>
        <w:rPr>
          <w:rFonts w:hint="eastAsia" w:ascii="仿宋_GB2312" w:hAnsi="宋体" w:eastAsia="仿宋_GB2312"/>
          <w:kern w:val="0"/>
          <w:sz w:val="32"/>
          <w:szCs w:val="32"/>
        </w:rPr>
        <w:t>资金分配情况：其他商品和服务性支出</w:t>
      </w:r>
      <w:r>
        <w:rPr>
          <w:rFonts w:ascii="仿宋_GB2312" w:hAnsi="宋体" w:eastAsia="仿宋_GB2312"/>
          <w:kern w:val="0"/>
          <w:sz w:val="32"/>
          <w:szCs w:val="32"/>
        </w:rPr>
        <w:t>7.00</w:t>
      </w:r>
      <w:r>
        <w:rPr>
          <w:rFonts w:hint="eastAsia" w:ascii="仿宋_GB2312" w:hAnsi="宋体" w:eastAsia="仿宋_GB2312"/>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jc w:val="left"/>
        <w:textAlignment w:val="auto"/>
        <w:rPr>
          <w:rFonts w:hint="eastAsia" w:ascii="仿宋_GB2312" w:hAnsi="宋体" w:eastAsia="仿宋_GB2312"/>
          <w:color w:val="000000"/>
          <w:kern w:val="0"/>
          <w:sz w:val="32"/>
          <w:szCs w:val="32"/>
        </w:rPr>
      </w:pPr>
      <w:r>
        <w:rPr>
          <w:rFonts w:hint="eastAsia" w:ascii="仿宋_GB2312" w:hAnsi="宋体" w:eastAsia="仿宋_GB2312"/>
          <w:kern w:val="0"/>
          <w:sz w:val="32"/>
          <w:szCs w:val="32"/>
        </w:rPr>
        <w:t>资金执行时间：</w:t>
      </w:r>
      <w:r>
        <w:rPr>
          <w:rFonts w:ascii="仿宋_GB2312" w:hAnsi="宋体" w:eastAsia="仿宋_GB2312"/>
          <w:color w:val="000000"/>
          <w:kern w:val="0"/>
          <w:sz w:val="32"/>
          <w:szCs w:val="32"/>
        </w:rPr>
        <w:t>2021</w:t>
      </w:r>
      <w:r>
        <w:rPr>
          <w:rFonts w:hint="eastAsia" w:ascii="仿宋_GB2312" w:hAnsi="宋体" w:eastAsia="仿宋_GB2312"/>
          <w:color w:val="000000"/>
          <w:kern w:val="0"/>
          <w:sz w:val="32"/>
          <w:szCs w:val="32"/>
        </w:rPr>
        <w:t>年全年</w:t>
      </w:r>
    </w:p>
    <w:p>
      <w:pPr>
        <w:keepNext w:val="0"/>
        <w:keepLines w:val="0"/>
        <w:pageBreakBefore w:val="0"/>
        <w:widowControl/>
        <w:kinsoku/>
        <w:wordWrap/>
        <w:overflowPunct/>
        <w:topLinePunct w:val="0"/>
        <w:autoSpaceDE/>
        <w:autoSpaceDN/>
        <w:bidi w:val="0"/>
        <w:adjustRightInd/>
        <w:snapToGrid/>
        <w:spacing w:line="580" w:lineRule="exact"/>
        <w:ind w:firstLine="630" w:firstLineChars="196"/>
        <w:jc w:val="left"/>
        <w:textAlignment w:val="auto"/>
        <w:rPr>
          <w:rFonts w:hint="eastAsia" w:ascii="仿宋_GB2312" w:hAnsi="宋体" w:eastAsia="仿宋_GB2312" w:cs="宋体"/>
          <w:b/>
          <w:bCs/>
          <w:color w:val="000000"/>
          <w:kern w:val="0"/>
          <w:sz w:val="32"/>
          <w:szCs w:val="32"/>
          <w:lang w:eastAsia="zh-CN"/>
        </w:rPr>
      </w:pPr>
      <w:r>
        <w:rPr>
          <w:rFonts w:hint="eastAsia" w:ascii="仿宋_GB2312" w:hAnsi="宋体" w:eastAsia="仿宋_GB2312" w:cs="宋体"/>
          <w:b/>
          <w:bCs/>
          <w:color w:val="000000"/>
          <w:kern w:val="0"/>
          <w:sz w:val="32"/>
          <w:szCs w:val="32"/>
          <w:lang w:eastAsia="zh-CN"/>
        </w:rPr>
        <w:t>情况二：（属于对个人补贴的项目支出按下列内容说明）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宋体" w:eastAsia="黑体" w:cs="宋体"/>
          <w:kern w:val="0"/>
          <w:sz w:val="32"/>
          <w:szCs w:val="32"/>
        </w:rPr>
      </w:pPr>
      <w:r>
        <w:rPr>
          <w:rFonts w:hint="eastAsia" w:ascii="黑体" w:hAnsi="宋体" w:eastAsia="黑体" w:cs="宋体"/>
          <w:kern w:val="0"/>
          <w:sz w:val="32"/>
          <w:szCs w:val="32"/>
        </w:rPr>
        <w:t>八、关于克</w:t>
      </w:r>
      <w:r>
        <w:rPr>
          <w:rFonts w:hint="eastAsia" w:ascii="黑体" w:hAnsi="宋体" w:eastAsia="黑体"/>
          <w:kern w:val="0"/>
          <w:sz w:val="32"/>
          <w:szCs w:val="32"/>
        </w:rPr>
        <w:t>孜勒苏柯尔克孜自治州生态环境局</w:t>
      </w:r>
      <w:r>
        <w:rPr>
          <w:rFonts w:ascii="黑体" w:hAnsi="宋体" w:eastAsia="黑体" w:cs="宋体"/>
          <w:kern w:val="0"/>
          <w:sz w:val="32"/>
          <w:szCs w:val="32"/>
        </w:rPr>
        <w:t>2021</w:t>
      </w:r>
      <w:r>
        <w:rPr>
          <w:rFonts w:hint="eastAsia" w:ascii="黑体" w:hAnsi="宋体" w:eastAsia="黑体" w:cs="宋体"/>
          <w:kern w:val="0"/>
          <w:sz w:val="32"/>
          <w:szCs w:val="32"/>
        </w:rPr>
        <w:t>年一般公共预算“三公”经费预算情况说明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克</w:t>
      </w:r>
      <w:r>
        <w:rPr>
          <w:rFonts w:hint="eastAsia" w:ascii="仿宋_GB2312" w:hAnsi="宋体" w:eastAsia="仿宋_GB2312"/>
          <w:kern w:val="0"/>
          <w:sz w:val="32"/>
          <w:szCs w:val="32"/>
        </w:rPr>
        <w:t>孜勒苏柯尔克孜自治州生态环境局</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年一般公共预算“三公”经费数为</w:t>
      </w:r>
      <w:r>
        <w:rPr>
          <w:rFonts w:ascii="仿宋_GB2312" w:hAnsi="宋体" w:eastAsia="仿宋_GB2312" w:cs="宋体"/>
          <w:kern w:val="0"/>
          <w:sz w:val="32"/>
          <w:szCs w:val="32"/>
        </w:rPr>
        <w:t>29</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 xml:space="preserve"> 26</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3</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年一般公共预算“三公”经费比上年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减少</w:t>
      </w:r>
      <w:r>
        <w:rPr>
          <w:rFonts w:ascii="仿宋_GB2312" w:hAnsi="宋体" w:eastAsia="仿宋_GB2312" w:cs="宋体"/>
          <w:kern w:val="0"/>
          <w:sz w:val="32"/>
          <w:szCs w:val="32"/>
        </w:rPr>
        <w:t xml:space="preserve"> 6</w:t>
      </w:r>
      <w:r>
        <w:rPr>
          <w:rFonts w:hint="eastAsia" w:ascii="仿宋_GB2312" w:hAnsi="宋体" w:eastAsia="仿宋_GB2312" w:cs="宋体"/>
          <w:kern w:val="0"/>
          <w:sz w:val="32"/>
          <w:szCs w:val="32"/>
        </w:rPr>
        <w:t>万元，其中：因公出国（境）费增加</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万元，主要原因是：未安排预算</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，未安排预算。公务用车运行费减少</w:t>
      </w:r>
      <w:r>
        <w:rPr>
          <w:rFonts w:ascii="仿宋_GB2312" w:hAnsi="宋体" w:eastAsia="仿宋_GB2312" w:cs="宋体"/>
          <w:kern w:val="0"/>
          <w:sz w:val="32"/>
          <w:szCs w:val="32"/>
        </w:rPr>
        <w:t>4</w:t>
      </w:r>
      <w:r>
        <w:rPr>
          <w:rFonts w:hint="eastAsia" w:ascii="仿宋_GB2312" w:hAnsi="宋体" w:eastAsia="仿宋_GB2312" w:cs="宋体"/>
          <w:kern w:val="0"/>
          <w:sz w:val="32"/>
          <w:szCs w:val="32"/>
        </w:rPr>
        <w:t>万元，主要原因是：节约开支，压缩“三公”经费；公务接待费减少</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万元，主要原因是：节约开支，压缩“三公”经费。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宋体" w:eastAsia="黑体" w:cs="宋体"/>
          <w:kern w:val="0"/>
          <w:sz w:val="32"/>
          <w:szCs w:val="32"/>
        </w:rPr>
      </w:pPr>
      <w:r>
        <w:rPr>
          <w:rFonts w:hint="eastAsia" w:ascii="黑体" w:hAnsi="宋体" w:eastAsia="黑体" w:cs="宋体"/>
          <w:kern w:val="0"/>
          <w:sz w:val="32"/>
          <w:szCs w:val="32"/>
        </w:rPr>
        <w:t>九、关于克</w:t>
      </w:r>
      <w:r>
        <w:rPr>
          <w:rFonts w:hint="eastAsia" w:ascii="黑体" w:hAnsi="宋体" w:eastAsia="黑体"/>
          <w:kern w:val="0"/>
          <w:sz w:val="32"/>
          <w:szCs w:val="32"/>
        </w:rPr>
        <w:t>孜勒苏柯尔克孜自治州生态环境局</w:t>
      </w:r>
      <w:r>
        <w:rPr>
          <w:rFonts w:ascii="黑体" w:hAnsi="宋体" w:eastAsia="黑体" w:cs="宋体"/>
          <w:kern w:val="0"/>
          <w:sz w:val="32"/>
          <w:szCs w:val="32"/>
        </w:rPr>
        <w:t>2021</w:t>
      </w:r>
      <w:r>
        <w:rPr>
          <w:rFonts w:hint="eastAsia" w:ascii="黑体" w:hAnsi="宋体" w:eastAsia="黑体" w:cs="宋体"/>
          <w:kern w:val="0"/>
          <w:sz w:val="32"/>
          <w:szCs w:val="32"/>
        </w:rPr>
        <w:t>年政府性基金预算拨款情况说明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黑体" w:hAnsi="宋体" w:eastAsia="黑体" w:cs="宋体"/>
          <w:kern w:val="0"/>
          <w:sz w:val="32"/>
          <w:szCs w:val="32"/>
        </w:rPr>
      </w:pPr>
      <w:r>
        <w:rPr>
          <w:rFonts w:hint="eastAsia" w:ascii="仿宋_GB2312" w:hAnsi="宋体" w:eastAsia="仿宋_GB2312" w:cs="宋体"/>
          <w:kern w:val="0"/>
          <w:sz w:val="32"/>
          <w:szCs w:val="32"/>
        </w:rPr>
        <w:t>克</w:t>
      </w:r>
      <w:r>
        <w:rPr>
          <w:rFonts w:hint="eastAsia" w:ascii="仿宋_GB2312" w:hAnsi="宋体" w:eastAsia="仿宋_GB2312"/>
          <w:kern w:val="0"/>
          <w:sz w:val="32"/>
          <w:szCs w:val="32"/>
        </w:rPr>
        <w:t>孜勒苏柯尔克孜自治州生态环境局</w:t>
      </w:r>
      <w:r>
        <w:rPr>
          <w:rFonts w:ascii="仿宋_GB2312" w:hAnsi="宋体" w:eastAsia="仿宋_GB2312" w:cs="宋体"/>
          <w:color w:val="000000"/>
          <w:kern w:val="0"/>
          <w:sz w:val="32"/>
          <w:szCs w:val="32"/>
        </w:rPr>
        <w:t>2021</w:t>
      </w:r>
      <w:r>
        <w:rPr>
          <w:rFonts w:hint="eastAsia" w:ascii="仿宋_GB2312" w:hAnsi="宋体" w:eastAsia="仿宋_GB2312" w:cs="宋体"/>
          <w:color w:val="000000"/>
          <w:kern w:val="0"/>
          <w:sz w:val="32"/>
          <w:szCs w:val="32"/>
        </w:rPr>
        <w:t>年没有使用政府性基金预算拨款</w:t>
      </w:r>
      <w:r>
        <w:rPr>
          <w:rFonts w:hint="eastAsia" w:ascii="仿宋_GB2312" w:hAnsi="宋体" w:eastAsia="仿宋_GB2312" w:cs="宋体"/>
          <w:kern w:val="0"/>
          <w:sz w:val="32"/>
          <w:szCs w:val="32"/>
        </w:rPr>
        <w:t>安排的支出，政府性基金预算支出情况表为空表。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2"/>
        <w:textAlignment w:val="auto"/>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年，克</w:t>
      </w:r>
      <w:r>
        <w:rPr>
          <w:rFonts w:hint="eastAsia" w:ascii="仿宋_GB2312" w:hAnsi="宋体" w:eastAsia="仿宋_GB2312"/>
          <w:kern w:val="0"/>
          <w:sz w:val="32"/>
          <w:szCs w:val="32"/>
        </w:rPr>
        <w:t>孜勒苏柯尔克孜自治州生态环境局</w:t>
      </w:r>
      <w:r>
        <w:rPr>
          <w:rFonts w:hint="eastAsia" w:ascii="仿宋_GB2312" w:hAnsi="宋体" w:eastAsia="仿宋_GB2312" w:cs="宋体"/>
          <w:kern w:val="0"/>
          <w:sz w:val="32"/>
          <w:szCs w:val="32"/>
        </w:rPr>
        <w:t>本级及下属</w:t>
      </w:r>
      <w:r>
        <w:rPr>
          <w:rFonts w:ascii="仿宋_GB2312" w:hAnsi="宋体" w:eastAsia="仿宋_GB2312" w:cs="宋体"/>
          <w:kern w:val="0"/>
          <w:sz w:val="32"/>
          <w:szCs w:val="32"/>
        </w:rPr>
        <w:t>0</w:t>
      </w:r>
      <w:r>
        <w:rPr>
          <w:rFonts w:hint="eastAsia" w:ascii="仿宋_GB2312" w:hAnsi="宋体" w:eastAsia="仿宋_GB2312" w:cs="宋体"/>
          <w:kern w:val="0"/>
          <w:sz w:val="32"/>
          <w:szCs w:val="32"/>
        </w:rPr>
        <w:t>家行政单位和</w:t>
      </w:r>
      <w:r>
        <w:rPr>
          <w:rFonts w:ascii="仿宋_GB2312" w:hAnsi="宋体" w:eastAsia="仿宋_GB2312" w:cs="宋体"/>
          <w:kern w:val="0"/>
          <w:sz w:val="32"/>
          <w:szCs w:val="32"/>
        </w:rPr>
        <w:t>0</w:t>
      </w:r>
      <w:r>
        <w:rPr>
          <w:rFonts w:hint="eastAsia" w:ascii="仿宋_GB2312" w:hAnsi="宋体" w:eastAsia="仿宋_GB2312" w:cs="宋体"/>
          <w:kern w:val="0"/>
          <w:sz w:val="32"/>
          <w:szCs w:val="32"/>
        </w:rPr>
        <w:t>家事业单位的机关运行经费财政拨款预算</w:t>
      </w:r>
      <w:r>
        <w:rPr>
          <w:rFonts w:ascii="仿宋_GB2312" w:hAnsi="宋体" w:eastAsia="仿宋_GB2312" w:cs="宋体"/>
          <w:kern w:val="0"/>
          <w:sz w:val="32"/>
          <w:szCs w:val="32"/>
        </w:rPr>
        <w:t>32.25</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 xml:space="preserve">0.74 </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2 %</w:t>
      </w:r>
      <w:r>
        <w:rPr>
          <w:rFonts w:hint="eastAsia" w:ascii="仿宋_GB2312" w:hAnsi="宋体" w:eastAsia="仿宋_GB2312" w:cs="宋体"/>
          <w:kern w:val="0"/>
          <w:sz w:val="32"/>
          <w:szCs w:val="32"/>
        </w:rPr>
        <w:t>。主要原因是为打好污染防治攻坚战，财政增加了经费。</w:t>
      </w:r>
      <w:r>
        <w:rPr>
          <w:rFonts w:ascii="仿宋_GB2312" w:hAnsi="宋体" w:eastAsia="仿宋_GB2312" w:cs="宋体"/>
          <w:kern w:val="0"/>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2021</w:t>
      </w:r>
      <w:r>
        <w:rPr>
          <w:rFonts w:hint="eastAsia" w:ascii="仿宋_GB2312" w:hAnsi="宋体" w:eastAsia="仿宋_GB2312" w:cs="宋体"/>
          <w:color w:val="000000"/>
          <w:kern w:val="0"/>
          <w:sz w:val="32"/>
          <w:szCs w:val="32"/>
        </w:rPr>
        <w:t>年，克</w:t>
      </w:r>
      <w:r>
        <w:rPr>
          <w:rFonts w:hint="eastAsia" w:ascii="仿宋_GB2312" w:hAnsi="宋体" w:eastAsia="仿宋_GB2312"/>
          <w:color w:val="000000"/>
          <w:kern w:val="0"/>
          <w:sz w:val="32"/>
          <w:szCs w:val="32"/>
        </w:rPr>
        <w:t>孜勒苏柯尔克孜自治州生态环境局</w:t>
      </w:r>
      <w:r>
        <w:rPr>
          <w:rFonts w:hint="eastAsia" w:ascii="仿宋_GB2312" w:hAnsi="宋体" w:eastAsia="仿宋_GB2312" w:cs="宋体"/>
          <w:color w:val="000000"/>
          <w:kern w:val="0"/>
          <w:sz w:val="32"/>
          <w:szCs w:val="32"/>
        </w:rPr>
        <w:t>政府采购预算</w:t>
      </w:r>
      <w:r>
        <w:rPr>
          <w:rFonts w:ascii="仿宋_GB2312" w:hAnsi="宋体" w:eastAsia="仿宋_GB2312" w:cs="宋体"/>
          <w:color w:val="000000"/>
          <w:kern w:val="0"/>
          <w:sz w:val="32"/>
          <w:szCs w:val="32"/>
        </w:rPr>
        <w:t>96.1</w:t>
      </w:r>
      <w:r>
        <w:rPr>
          <w:rFonts w:hint="eastAsia" w:ascii="仿宋_GB2312" w:hAnsi="宋体" w:eastAsia="仿宋_GB2312" w:cs="宋体"/>
          <w:color w:val="000000"/>
          <w:kern w:val="0"/>
          <w:sz w:val="32"/>
          <w:szCs w:val="32"/>
        </w:rPr>
        <w:t>万元，其中：政府采购货物预算</w:t>
      </w:r>
      <w:r>
        <w:rPr>
          <w:rFonts w:ascii="仿宋_GB2312" w:hAnsi="宋体" w:eastAsia="仿宋_GB2312" w:cs="宋体"/>
          <w:color w:val="000000"/>
          <w:kern w:val="0"/>
          <w:sz w:val="32"/>
          <w:szCs w:val="32"/>
        </w:rPr>
        <w:t xml:space="preserve">46.1 </w:t>
      </w:r>
      <w:r>
        <w:rPr>
          <w:rFonts w:hint="eastAsia" w:ascii="仿宋_GB2312" w:hAnsi="宋体" w:eastAsia="仿宋_GB2312" w:cs="宋体"/>
          <w:color w:val="000000"/>
          <w:kern w:val="0"/>
          <w:sz w:val="32"/>
          <w:szCs w:val="32"/>
        </w:rPr>
        <w:t>万元，政府采购工程预算</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rPr>
        <w:t>万元，政府采购服务预算</w:t>
      </w:r>
      <w:r>
        <w:rPr>
          <w:rFonts w:ascii="仿宋_GB2312" w:hAnsi="宋体" w:eastAsia="仿宋_GB2312" w:cs="宋体"/>
          <w:color w:val="000000"/>
          <w:kern w:val="0"/>
          <w:sz w:val="32"/>
          <w:szCs w:val="32"/>
        </w:rPr>
        <w:t xml:space="preserve"> 50</w:t>
      </w:r>
      <w:r>
        <w:rPr>
          <w:rFonts w:hint="eastAsia" w:ascii="仿宋_GB2312" w:hAnsi="宋体" w:eastAsia="仿宋_GB2312" w:cs="宋体"/>
          <w:color w:val="000000"/>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ascii="仿宋_GB2312" w:hAnsi="仿宋_GB2312" w:eastAsia="仿宋_GB2312"/>
          <w:sz w:val="32"/>
        </w:rPr>
        <w:t>2021</w:t>
      </w:r>
      <w:r>
        <w:rPr>
          <w:rFonts w:hint="eastAsia" w:ascii="仿宋_GB2312" w:hAnsi="仿宋_GB2312" w:eastAsia="仿宋_GB2312"/>
          <w:sz w:val="32"/>
        </w:rPr>
        <w:t>年度</w:t>
      </w:r>
      <w:r>
        <w:rPr>
          <w:rFonts w:hint="eastAsia" w:ascii="仿宋_GB2312" w:hAnsi="宋体" w:eastAsia="仿宋_GB2312" w:cs="宋体"/>
          <w:color w:val="000000"/>
          <w:kern w:val="0"/>
          <w:sz w:val="32"/>
          <w:szCs w:val="32"/>
        </w:rPr>
        <w:t>克</w:t>
      </w:r>
      <w:r>
        <w:rPr>
          <w:rFonts w:hint="eastAsia" w:ascii="仿宋_GB2312" w:hAnsi="宋体" w:eastAsia="仿宋_GB2312"/>
          <w:color w:val="000000"/>
          <w:kern w:val="0"/>
          <w:sz w:val="32"/>
          <w:szCs w:val="32"/>
        </w:rPr>
        <w:t>孜勒苏柯尔克孜自治州生态环境局</w:t>
      </w:r>
      <w:r>
        <w:rPr>
          <w:rFonts w:hint="eastAsia" w:ascii="仿宋_GB2312" w:hAnsi="仿宋_GB2312" w:eastAsia="仿宋_GB2312"/>
          <w:sz w:val="32"/>
        </w:rPr>
        <w:t>面向中小企业预留政府采购项目预算金额</w:t>
      </w:r>
      <w:r>
        <w:rPr>
          <w:rFonts w:ascii="仿宋_GB2312" w:hAnsi="仿宋_GB2312" w:eastAsia="仿宋_GB2312"/>
          <w:sz w:val="32"/>
        </w:rPr>
        <w:t xml:space="preserve">0 </w:t>
      </w:r>
      <w:r>
        <w:rPr>
          <w:rFonts w:hint="eastAsia" w:ascii="仿宋_GB2312" w:hAnsi="仿宋_GB2312" w:eastAsia="仿宋_GB2312"/>
          <w:sz w:val="32"/>
        </w:rPr>
        <w:t>万元，其中：面向小微企业预留政府采购项目预算金额</w:t>
      </w:r>
      <w:r>
        <w:rPr>
          <w:rFonts w:ascii="仿宋_GB2312" w:hAnsi="仿宋_GB2312" w:eastAsia="仿宋_GB2312"/>
          <w:sz w:val="32"/>
        </w:rPr>
        <w:t xml:space="preserve"> 0 </w:t>
      </w:r>
      <w:r>
        <w:rPr>
          <w:rFonts w:hint="eastAsia" w:ascii="仿宋_GB2312" w:hAnsi="仿宋_GB2312" w:eastAsia="仿宋_GB2312"/>
          <w:sz w:val="32"/>
        </w:rPr>
        <w:t>万元。</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年底，克</w:t>
      </w:r>
      <w:r>
        <w:rPr>
          <w:rFonts w:hint="eastAsia" w:ascii="仿宋_GB2312" w:hAnsi="宋体" w:eastAsia="仿宋_GB2312"/>
          <w:kern w:val="0"/>
          <w:sz w:val="32"/>
          <w:szCs w:val="32"/>
        </w:rPr>
        <w:t>孜勒苏柯尔克孜自治州生态环境局</w:t>
      </w:r>
      <w:r>
        <w:rPr>
          <w:rFonts w:hint="eastAsia" w:ascii="仿宋_GB2312" w:hAnsi="宋体" w:eastAsia="仿宋_GB2312" w:cs="宋体"/>
          <w:kern w:val="0"/>
          <w:sz w:val="32"/>
          <w:szCs w:val="32"/>
        </w:rPr>
        <w:t>及下属各预算单位占用使用国有资产总体情况为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万元。主要原因是由州生态环境局局牵头</w:t>
      </w:r>
      <w:r>
        <w:rPr>
          <w:rFonts w:ascii="仿宋_GB2312" w:hAnsi="宋体" w:eastAsia="仿宋_GB2312" w:cs="宋体"/>
          <w:kern w:val="0"/>
          <w:sz w:val="32"/>
          <w:szCs w:val="32"/>
        </w:rPr>
        <w:t>(</w:t>
      </w:r>
      <w:r>
        <w:rPr>
          <w:rFonts w:hint="eastAsia" w:ascii="仿宋_GB2312" w:hAnsi="宋体" w:eastAsia="仿宋_GB2312" w:cs="宋体"/>
          <w:kern w:val="0"/>
          <w:sz w:val="32"/>
          <w:szCs w:val="32"/>
        </w:rPr>
        <w:t>州生态环境局、州农业技术推广中心、州农机推广站、州食药局、州建设局）出资建</w:t>
      </w:r>
      <w:r>
        <w:rPr>
          <w:rFonts w:ascii="仿宋_GB2312" w:hAnsi="宋体" w:eastAsia="仿宋_GB2312" w:cs="宋体"/>
          <w:kern w:val="0"/>
          <w:sz w:val="32"/>
          <w:szCs w:val="32"/>
        </w:rPr>
        <w:t>9</w:t>
      </w:r>
      <w:r>
        <w:rPr>
          <w:rFonts w:hint="eastAsia" w:ascii="仿宋_GB2312" w:hAnsi="宋体" w:eastAsia="仿宋_GB2312" w:cs="宋体"/>
          <w:kern w:val="0"/>
          <w:sz w:val="32"/>
          <w:szCs w:val="32"/>
        </w:rPr>
        <w:t>层综合办公大楼，因消防一直没法达标，没有办理产权手续。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 xml:space="preserve">3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64.52</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 xml:space="preserve">2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43.33 </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 xml:space="preserve">1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 21.19</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23.82</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224.21</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年部门预算未安排购置车辆经费，安排购置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台。</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年度，本年度实行绩效管理的一般公共预算项目</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78</w:t>
      </w:r>
      <w:r>
        <w:rPr>
          <w:rFonts w:hint="eastAsia" w:ascii="仿宋_GB2312" w:hAnsi="宋体" w:eastAsia="仿宋_GB2312" w:cs="宋体"/>
          <w:kern w:val="0"/>
          <w:sz w:val="32"/>
          <w:szCs w:val="32"/>
        </w:rPr>
        <w:t>万元。具体情况见下表：</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宋体" w:eastAsia="仿宋_GB2312" w:cs="宋体"/>
          <w:kern w:val="0"/>
          <w:sz w:val="32"/>
          <w:szCs w:val="32"/>
        </w:rPr>
      </w:pPr>
    </w:p>
    <w:tbl>
      <w:tblPr>
        <w:tblStyle w:val="7"/>
        <w:tblW w:w="8542" w:type="dxa"/>
        <w:tblInd w:w="0" w:type="dxa"/>
        <w:tblLayout w:type="fixed"/>
        <w:tblCellMar>
          <w:top w:w="0" w:type="dxa"/>
          <w:left w:w="0" w:type="dxa"/>
          <w:bottom w:w="0" w:type="dxa"/>
          <w:right w:w="0" w:type="dxa"/>
        </w:tblCellMar>
      </w:tblPr>
      <w:tblGrid>
        <w:gridCol w:w="930"/>
        <w:gridCol w:w="1407"/>
        <w:gridCol w:w="1187"/>
        <w:gridCol w:w="1430"/>
        <w:gridCol w:w="1007"/>
        <w:gridCol w:w="1435"/>
        <w:gridCol w:w="1146"/>
      </w:tblGrid>
      <w:tr>
        <w:tblPrEx>
          <w:tblCellMar>
            <w:top w:w="0" w:type="dxa"/>
            <w:left w:w="0" w:type="dxa"/>
            <w:bottom w:w="0" w:type="dxa"/>
            <w:right w:w="0" w:type="dxa"/>
          </w:tblCellMar>
        </w:tblPrEx>
        <w:trPr>
          <w:trHeight w:val="573" w:hRule="atLeast"/>
        </w:trPr>
        <w:tc>
          <w:tcPr>
            <w:tcW w:w="8542"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目</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支</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出</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绩效</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目</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标</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表</w:t>
            </w:r>
          </w:p>
        </w:tc>
      </w:tr>
      <w:tr>
        <w:tblPrEx>
          <w:tblCellMar>
            <w:top w:w="0" w:type="dxa"/>
            <w:left w:w="0" w:type="dxa"/>
            <w:bottom w:w="0" w:type="dxa"/>
            <w:right w:w="0" w:type="dxa"/>
          </w:tblCellMar>
        </w:tblPrEx>
        <w:trPr>
          <w:trHeight w:val="453" w:hRule="atLeast"/>
        </w:trPr>
        <w:tc>
          <w:tcPr>
            <w:tcW w:w="8542"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cs="宋体"/>
                <w:color w:val="00000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2021</w:t>
            </w:r>
            <w:r>
              <w:rPr>
                <w:rFonts w:hint="eastAsia" w:ascii="宋体" w:hAnsi="宋体" w:cs="宋体"/>
                <w:color w:val="000000"/>
                <w:kern w:val="0"/>
                <w:sz w:val="22"/>
                <w:szCs w:val="22"/>
              </w:rPr>
              <w:t>年）</w:t>
            </w:r>
          </w:p>
        </w:tc>
      </w:tr>
      <w:tr>
        <w:tblPrEx>
          <w:tblCellMar>
            <w:top w:w="0" w:type="dxa"/>
            <w:left w:w="0" w:type="dxa"/>
            <w:bottom w:w="0" w:type="dxa"/>
            <w:right w:w="0" w:type="dxa"/>
          </w:tblCellMar>
        </w:tblPrEx>
        <w:trPr>
          <w:trHeight w:val="596" w:hRule="atLeast"/>
        </w:trPr>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预算单位</w:t>
            </w:r>
          </w:p>
        </w:tc>
        <w:tc>
          <w:tcPr>
            <w:tcW w:w="4024"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cs="宋体"/>
                <w:color w:val="000000"/>
                <w:sz w:val="18"/>
                <w:szCs w:val="18"/>
              </w:rPr>
            </w:pPr>
            <w:r>
              <w:rPr>
                <w:rFonts w:hint="eastAsia" w:ascii="宋体" w:cs="宋体"/>
                <w:color w:val="000000"/>
                <w:sz w:val="18"/>
                <w:szCs w:val="18"/>
                <w:lang w:eastAsia="zh-CN"/>
              </w:rPr>
              <w:t>克孜勒苏柯尔克孜自治州</w:t>
            </w:r>
            <w:r>
              <w:rPr>
                <w:rFonts w:hint="eastAsia" w:ascii="宋体" w:cs="宋体"/>
                <w:color w:val="000000"/>
                <w:sz w:val="18"/>
                <w:szCs w:val="18"/>
              </w:rPr>
              <w:t>生态环境局</w:t>
            </w:r>
          </w:p>
        </w:tc>
        <w:tc>
          <w:tcPr>
            <w:tcW w:w="10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cs="宋体"/>
                <w:color w:val="000000"/>
                <w:sz w:val="18"/>
                <w:szCs w:val="18"/>
              </w:rPr>
            </w:pPr>
            <w:r>
              <w:rPr>
                <w:rFonts w:hint="eastAsia" w:ascii="宋体" w:cs="宋体"/>
                <w:color w:val="000000"/>
                <w:sz w:val="18"/>
                <w:szCs w:val="18"/>
              </w:rPr>
              <w:t>环保业务经费</w:t>
            </w:r>
          </w:p>
        </w:tc>
      </w:tr>
      <w:tr>
        <w:tblPrEx>
          <w:tblCellMar>
            <w:top w:w="0" w:type="dxa"/>
            <w:left w:w="0" w:type="dxa"/>
            <w:bottom w:w="0" w:type="dxa"/>
            <w:right w:w="0" w:type="dxa"/>
          </w:tblCellMar>
        </w:tblPrEx>
        <w:trPr>
          <w:trHeight w:val="645" w:hRule="atLeast"/>
        </w:trPr>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项目资金（万元）</w:t>
            </w: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年度资金总额：</w:t>
            </w:r>
          </w:p>
        </w:tc>
        <w:tc>
          <w:tcPr>
            <w:tcW w:w="11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71</w:t>
            </w:r>
          </w:p>
        </w:tc>
        <w:tc>
          <w:tcPr>
            <w:tcW w:w="14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其中：财政拨款</w:t>
            </w:r>
          </w:p>
        </w:tc>
        <w:tc>
          <w:tcPr>
            <w:tcW w:w="10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cs="宋体"/>
                <w:color w:val="000000"/>
                <w:sz w:val="18"/>
                <w:szCs w:val="18"/>
              </w:rPr>
            </w:pPr>
            <w:r>
              <w:rPr>
                <w:rFonts w:ascii="宋体" w:cs="宋体"/>
                <w:color w:val="000000"/>
                <w:sz w:val="18"/>
                <w:szCs w:val="18"/>
              </w:rPr>
              <w:t>71</w:t>
            </w:r>
          </w:p>
        </w:tc>
        <w:tc>
          <w:tcPr>
            <w:tcW w:w="143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其他资金</w:t>
            </w:r>
          </w:p>
        </w:tc>
        <w:tc>
          <w:tcPr>
            <w:tcW w:w="1146"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cs="宋体"/>
                <w:color w:val="000000"/>
                <w:sz w:val="18"/>
                <w:szCs w:val="18"/>
              </w:rPr>
            </w:pPr>
            <w:r>
              <w:rPr>
                <w:rFonts w:ascii="宋体" w:cs="宋体"/>
                <w:color w:val="000000"/>
                <w:sz w:val="18"/>
                <w:szCs w:val="18"/>
              </w:rPr>
              <w:t>0</w:t>
            </w:r>
          </w:p>
        </w:tc>
      </w:tr>
      <w:tr>
        <w:tblPrEx>
          <w:tblCellMar>
            <w:top w:w="0" w:type="dxa"/>
            <w:left w:w="0" w:type="dxa"/>
            <w:bottom w:w="0" w:type="dxa"/>
            <w:right w:w="0" w:type="dxa"/>
          </w:tblCellMar>
        </w:tblPrEx>
        <w:trPr>
          <w:trHeight w:val="1313" w:hRule="atLeast"/>
        </w:trPr>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项目总体目标</w:t>
            </w:r>
          </w:p>
        </w:tc>
        <w:tc>
          <w:tcPr>
            <w:tcW w:w="761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00" w:lineRule="exact"/>
              <w:ind w:firstLine="360" w:firstLineChars="200"/>
              <w:jc w:val="left"/>
              <w:rPr>
                <w:rFonts w:ascii="宋体" w:cs="宋体"/>
                <w:color w:val="000000"/>
                <w:sz w:val="18"/>
                <w:szCs w:val="18"/>
              </w:rPr>
            </w:pPr>
            <w:r>
              <w:rPr>
                <w:rFonts w:hint="eastAsia" w:ascii="宋体" w:cs="宋体"/>
                <w:color w:val="000000"/>
                <w:sz w:val="18"/>
                <w:szCs w:val="18"/>
              </w:rPr>
              <w:t>主要用于贯彻执行国家颁布的大气、水体、土壤、噪声、辐射、固体废物、有毒化学品以及机动车、露天焚烧秸秆、城市扬尘和燃油的污染防治法律、法规和规章，并实施监督检查。组织开展全州环境保护执法检查；负责查处环境污染事故和生态破坏事件；调查处理辖区内环境纠纷；组织、指导和协调全州环境保护宣传教育工作，普及环境科学和法律法规知识。</w:t>
            </w:r>
          </w:p>
        </w:tc>
      </w:tr>
      <w:tr>
        <w:tblPrEx>
          <w:tblCellMar>
            <w:top w:w="0" w:type="dxa"/>
            <w:left w:w="0" w:type="dxa"/>
            <w:bottom w:w="0" w:type="dxa"/>
            <w:right w:w="0" w:type="dxa"/>
          </w:tblCellMar>
        </w:tblPrEx>
        <w:trPr>
          <w:trHeight w:val="573" w:hRule="atLeast"/>
        </w:trPr>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258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0" w:type="dxa"/>
            <w:left w:w="0" w:type="dxa"/>
            <w:bottom w:w="0" w:type="dxa"/>
            <w:right w:w="0" w:type="dxa"/>
          </w:tblCellMar>
        </w:tblPrEx>
        <w:trPr>
          <w:trHeight w:val="526" w:hRule="atLeast"/>
        </w:trPr>
        <w:tc>
          <w:tcPr>
            <w:tcW w:w="93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产出指标</w:t>
            </w:r>
          </w:p>
        </w:tc>
        <w:tc>
          <w:tcPr>
            <w:tcW w:w="14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开展环评项目审批数量（个）</w:t>
            </w: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w:t>
            </w:r>
            <w:r>
              <w:rPr>
                <w:rFonts w:ascii="宋体" w:cs="宋体"/>
                <w:color w:val="000000"/>
                <w:sz w:val="18"/>
                <w:szCs w:val="18"/>
              </w:rPr>
              <w:t>50</w:t>
            </w:r>
          </w:p>
        </w:tc>
      </w:tr>
      <w:tr>
        <w:tblPrEx>
          <w:tblCellMar>
            <w:top w:w="0" w:type="dxa"/>
            <w:left w:w="0" w:type="dxa"/>
            <w:bottom w:w="0" w:type="dxa"/>
            <w:right w:w="0" w:type="dxa"/>
          </w:tblCellMar>
        </w:tblPrEx>
        <w:trPr>
          <w:trHeight w:val="526" w:hRule="atLeast"/>
        </w:trPr>
        <w:tc>
          <w:tcPr>
            <w:tcW w:w="9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及时处理环境信访案件（起）</w:t>
            </w: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w:t>
            </w:r>
            <w:r>
              <w:rPr>
                <w:rFonts w:ascii="宋体" w:cs="宋体"/>
                <w:color w:val="000000"/>
                <w:sz w:val="18"/>
                <w:szCs w:val="18"/>
              </w:rPr>
              <w:t>50</w:t>
            </w:r>
          </w:p>
        </w:tc>
      </w:tr>
      <w:tr>
        <w:tblPrEx>
          <w:tblCellMar>
            <w:top w:w="0" w:type="dxa"/>
            <w:left w:w="0" w:type="dxa"/>
            <w:bottom w:w="0" w:type="dxa"/>
            <w:right w:w="0" w:type="dxa"/>
          </w:tblCellMar>
        </w:tblPrEx>
        <w:trPr>
          <w:trHeight w:val="526" w:hRule="atLeast"/>
        </w:trPr>
        <w:tc>
          <w:tcPr>
            <w:tcW w:w="9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执法行动次数（次）</w:t>
            </w: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1</w:t>
            </w:r>
          </w:p>
        </w:tc>
      </w:tr>
      <w:tr>
        <w:tblPrEx>
          <w:tblCellMar>
            <w:top w:w="0" w:type="dxa"/>
            <w:left w:w="0" w:type="dxa"/>
            <w:bottom w:w="0" w:type="dxa"/>
            <w:right w:w="0" w:type="dxa"/>
          </w:tblCellMar>
        </w:tblPrEx>
        <w:trPr>
          <w:trHeight w:val="526" w:hRule="atLeast"/>
        </w:trPr>
        <w:tc>
          <w:tcPr>
            <w:tcW w:w="9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质量指标</w:t>
            </w: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案件结案率（</w:t>
            </w:r>
            <w:r>
              <w:rPr>
                <w:rFonts w:ascii="宋体" w:cs="宋体"/>
                <w:color w:val="000000"/>
                <w:sz w:val="18"/>
                <w:szCs w:val="18"/>
              </w:rPr>
              <w:t>%</w:t>
            </w:r>
            <w:r>
              <w:rPr>
                <w:rFonts w:hint="eastAsia" w:ascii="宋体" w:cs="宋体"/>
                <w:color w:val="000000"/>
                <w:sz w:val="18"/>
                <w:szCs w:val="18"/>
              </w:rPr>
              <w:t>）</w:t>
            </w: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w:t>
            </w:r>
            <w:r>
              <w:rPr>
                <w:rFonts w:ascii="宋体" w:cs="宋体"/>
                <w:color w:val="000000"/>
                <w:sz w:val="18"/>
                <w:szCs w:val="18"/>
              </w:rPr>
              <w:t>95%</w:t>
            </w:r>
          </w:p>
        </w:tc>
      </w:tr>
      <w:tr>
        <w:tblPrEx>
          <w:tblCellMar>
            <w:top w:w="0" w:type="dxa"/>
            <w:left w:w="0" w:type="dxa"/>
            <w:bottom w:w="0" w:type="dxa"/>
            <w:right w:w="0" w:type="dxa"/>
          </w:tblCellMar>
        </w:tblPrEx>
        <w:trPr>
          <w:trHeight w:val="526" w:hRule="atLeast"/>
        </w:trPr>
        <w:tc>
          <w:tcPr>
            <w:tcW w:w="9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污染物排放达标率（</w:t>
            </w:r>
            <w:r>
              <w:rPr>
                <w:rFonts w:ascii="宋体" w:cs="宋体"/>
                <w:color w:val="000000"/>
                <w:sz w:val="18"/>
                <w:szCs w:val="18"/>
              </w:rPr>
              <w:t>%</w:t>
            </w:r>
            <w:r>
              <w:rPr>
                <w:rFonts w:hint="eastAsia" w:ascii="宋体" w:cs="宋体"/>
                <w:color w:val="000000"/>
                <w:sz w:val="18"/>
                <w:szCs w:val="18"/>
              </w:rPr>
              <w:t>）</w:t>
            </w: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100%</w:t>
            </w:r>
          </w:p>
        </w:tc>
      </w:tr>
      <w:tr>
        <w:tblPrEx>
          <w:tblCellMar>
            <w:top w:w="0" w:type="dxa"/>
            <w:left w:w="0" w:type="dxa"/>
            <w:bottom w:w="0" w:type="dxa"/>
            <w:right w:w="0" w:type="dxa"/>
          </w:tblCellMar>
        </w:tblPrEx>
        <w:trPr>
          <w:trHeight w:val="526" w:hRule="atLeast"/>
        </w:trPr>
        <w:tc>
          <w:tcPr>
            <w:tcW w:w="9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行政审批办结率（</w:t>
            </w:r>
            <w:r>
              <w:rPr>
                <w:rFonts w:ascii="宋体" w:cs="宋体"/>
                <w:color w:val="000000"/>
                <w:sz w:val="18"/>
                <w:szCs w:val="18"/>
              </w:rPr>
              <w:t>%</w:t>
            </w:r>
            <w:r>
              <w:rPr>
                <w:rFonts w:hint="eastAsia" w:ascii="宋体" w:cs="宋体"/>
                <w:color w:val="000000"/>
                <w:sz w:val="18"/>
                <w:szCs w:val="18"/>
              </w:rPr>
              <w:t>）</w:t>
            </w: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100%</w:t>
            </w:r>
          </w:p>
        </w:tc>
      </w:tr>
      <w:tr>
        <w:tblPrEx>
          <w:tblCellMar>
            <w:top w:w="0" w:type="dxa"/>
            <w:left w:w="0" w:type="dxa"/>
            <w:bottom w:w="0" w:type="dxa"/>
            <w:right w:w="0" w:type="dxa"/>
          </w:tblCellMar>
        </w:tblPrEx>
        <w:trPr>
          <w:trHeight w:val="526" w:hRule="atLeast"/>
        </w:trPr>
        <w:tc>
          <w:tcPr>
            <w:tcW w:w="9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项目完成及时率（</w:t>
            </w:r>
            <w:r>
              <w:rPr>
                <w:rFonts w:ascii="宋体" w:cs="宋体"/>
                <w:color w:val="000000"/>
                <w:sz w:val="18"/>
                <w:szCs w:val="18"/>
              </w:rPr>
              <w:t>%</w:t>
            </w:r>
            <w:r>
              <w:rPr>
                <w:rFonts w:hint="eastAsia" w:ascii="宋体" w:cs="宋体"/>
                <w:color w:val="000000"/>
                <w:sz w:val="18"/>
                <w:szCs w:val="18"/>
              </w:rPr>
              <w:t>）</w:t>
            </w: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100%</w:t>
            </w:r>
          </w:p>
        </w:tc>
      </w:tr>
      <w:tr>
        <w:tblPrEx>
          <w:tblCellMar>
            <w:top w:w="0" w:type="dxa"/>
            <w:left w:w="0" w:type="dxa"/>
            <w:bottom w:w="0" w:type="dxa"/>
            <w:right w:w="0" w:type="dxa"/>
          </w:tblCellMar>
        </w:tblPrEx>
        <w:trPr>
          <w:trHeight w:val="526" w:hRule="atLeast"/>
        </w:trPr>
        <w:tc>
          <w:tcPr>
            <w:tcW w:w="9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成本指标</w:t>
            </w: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环境保护经费</w:t>
            </w:r>
            <w:r>
              <w:rPr>
                <w:rFonts w:ascii="宋体" w:cs="宋体"/>
                <w:color w:val="000000"/>
                <w:sz w:val="18"/>
                <w:szCs w:val="18"/>
              </w:rPr>
              <w:t>(</w:t>
            </w:r>
            <w:r>
              <w:rPr>
                <w:rFonts w:hint="eastAsia" w:ascii="宋体" w:cs="宋体"/>
                <w:color w:val="000000"/>
                <w:sz w:val="18"/>
                <w:szCs w:val="18"/>
              </w:rPr>
              <w:t>万元）</w:t>
            </w: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71</w:t>
            </w:r>
          </w:p>
        </w:tc>
      </w:tr>
      <w:tr>
        <w:tblPrEx>
          <w:tblCellMar>
            <w:top w:w="0" w:type="dxa"/>
            <w:left w:w="0" w:type="dxa"/>
            <w:bottom w:w="0" w:type="dxa"/>
            <w:right w:w="0" w:type="dxa"/>
          </w:tblCellMar>
        </w:tblPrEx>
        <w:trPr>
          <w:trHeight w:val="526" w:hRule="atLeast"/>
        </w:trPr>
        <w:tc>
          <w:tcPr>
            <w:tcW w:w="93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经济效益指标</w:t>
            </w: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r>
      <w:tr>
        <w:tblPrEx>
          <w:tblCellMar>
            <w:top w:w="0" w:type="dxa"/>
            <w:left w:w="0" w:type="dxa"/>
            <w:bottom w:w="0" w:type="dxa"/>
            <w:right w:w="0" w:type="dxa"/>
          </w:tblCellMar>
        </w:tblPrEx>
        <w:trPr>
          <w:trHeight w:val="526" w:hRule="atLeast"/>
        </w:trPr>
        <w:tc>
          <w:tcPr>
            <w:tcW w:w="9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加强环境监管，保障群众环境安全</w:t>
            </w: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有效加强</w:t>
            </w:r>
          </w:p>
        </w:tc>
      </w:tr>
      <w:tr>
        <w:tblPrEx>
          <w:tblCellMar>
            <w:top w:w="0" w:type="dxa"/>
            <w:left w:w="0" w:type="dxa"/>
            <w:bottom w:w="0" w:type="dxa"/>
            <w:right w:w="0" w:type="dxa"/>
          </w:tblCellMar>
        </w:tblPrEx>
        <w:trPr>
          <w:trHeight w:val="526" w:hRule="atLeast"/>
        </w:trPr>
        <w:tc>
          <w:tcPr>
            <w:tcW w:w="9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改善生态环境</w:t>
            </w: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有效改善</w:t>
            </w:r>
          </w:p>
        </w:tc>
      </w:tr>
      <w:tr>
        <w:tblPrEx>
          <w:tblCellMar>
            <w:top w:w="0" w:type="dxa"/>
            <w:left w:w="0" w:type="dxa"/>
            <w:bottom w:w="0" w:type="dxa"/>
            <w:right w:w="0" w:type="dxa"/>
          </w:tblCellMar>
        </w:tblPrEx>
        <w:trPr>
          <w:trHeight w:val="526" w:hRule="atLeast"/>
        </w:trPr>
        <w:tc>
          <w:tcPr>
            <w:tcW w:w="9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可持续影响指标</w:t>
            </w: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r>
      <w:tr>
        <w:tblPrEx>
          <w:tblCellMar>
            <w:top w:w="0" w:type="dxa"/>
            <w:left w:w="0" w:type="dxa"/>
            <w:bottom w:w="0" w:type="dxa"/>
            <w:right w:w="0" w:type="dxa"/>
          </w:tblCellMar>
        </w:tblPrEx>
        <w:trPr>
          <w:trHeight w:val="526" w:hRule="atLeast"/>
        </w:trPr>
        <w:tc>
          <w:tcPr>
            <w:tcW w:w="93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4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服务对象对环保工作的满意度</w:t>
            </w:r>
            <w:r>
              <w:rPr>
                <w:rFonts w:ascii="宋体" w:cs="宋体"/>
                <w:color w:val="000000"/>
                <w:sz w:val="18"/>
                <w:szCs w:val="18"/>
              </w:rPr>
              <w:t>(%)</w:t>
            </w: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w:t>
            </w:r>
            <w:r>
              <w:rPr>
                <w:rFonts w:ascii="宋体" w:cs="宋体"/>
                <w:color w:val="000000"/>
                <w:sz w:val="18"/>
                <w:szCs w:val="18"/>
              </w:rPr>
              <w:t>90%</w:t>
            </w:r>
          </w:p>
        </w:tc>
      </w:tr>
      <w:tr>
        <w:tblPrEx>
          <w:tblCellMar>
            <w:top w:w="0" w:type="dxa"/>
            <w:left w:w="0" w:type="dxa"/>
            <w:bottom w:w="0" w:type="dxa"/>
            <w:right w:w="0" w:type="dxa"/>
          </w:tblCellMar>
        </w:tblPrEx>
        <w:trPr>
          <w:trHeight w:val="526" w:hRule="atLeast"/>
        </w:trPr>
        <w:tc>
          <w:tcPr>
            <w:tcW w:w="9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362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受益群众满意度</w:t>
            </w:r>
            <w:r>
              <w:rPr>
                <w:rFonts w:ascii="宋体" w:cs="宋体"/>
                <w:color w:val="000000"/>
                <w:sz w:val="18"/>
                <w:szCs w:val="18"/>
              </w:rPr>
              <w:t>(%)</w:t>
            </w:r>
          </w:p>
        </w:tc>
        <w:tc>
          <w:tcPr>
            <w:tcW w:w="258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w:t>
            </w:r>
            <w:r>
              <w:rPr>
                <w:rFonts w:ascii="宋体" w:cs="宋体"/>
                <w:color w:val="000000"/>
                <w:sz w:val="18"/>
                <w:szCs w:val="18"/>
              </w:rPr>
              <w:t>90%</w:t>
            </w:r>
          </w:p>
        </w:tc>
      </w:tr>
    </w:tbl>
    <w:p>
      <w:pPr>
        <w:widowControl/>
        <w:spacing w:line="480" w:lineRule="exact"/>
        <w:rPr>
          <w:rFonts w:ascii="仿宋_GB2312" w:hAnsi="宋体" w:eastAsia="仿宋_GB2312" w:cs="宋体"/>
          <w:kern w:val="0"/>
          <w:sz w:val="32"/>
          <w:szCs w:val="32"/>
        </w:rPr>
      </w:pPr>
    </w:p>
    <w:p>
      <w:pPr>
        <w:widowControl/>
        <w:spacing w:line="480" w:lineRule="exact"/>
        <w:rPr>
          <w:rFonts w:ascii="仿宋_GB2312" w:hAnsi="宋体" w:eastAsia="仿宋_GB2312" w:cs="宋体"/>
          <w:kern w:val="0"/>
          <w:sz w:val="32"/>
          <w:szCs w:val="32"/>
        </w:rPr>
      </w:pPr>
    </w:p>
    <w:p>
      <w:pPr>
        <w:widowControl/>
        <w:spacing w:line="480" w:lineRule="exact"/>
        <w:rPr>
          <w:rFonts w:ascii="仿宋_GB2312" w:hAnsi="宋体" w:eastAsia="仿宋_GB2312" w:cs="宋体"/>
          <w:kern w:val="0"/>
          <w:sz w:val="32"/>
          <w:szCs w:val="32"/>
        </w:rPr>
      </w:pPr>
    </w:p>
    <w:tbl>
      <w:tblPr>
        <w:tblStyle w:val="7"/>
        <w:tblW w:w="8447" w:type="dxa"/>
        <w:tblInd w:w="0" w:type="dxa"/>
        <w:tblLayout w:type="fixed"/>
        <w:tblCellMar>
          <w:top w:w="0" w:type="dxa"/>
          <w:left w:w="0" w:type="dxa"/>
          <w:bottom w:w="0" w:type="dxa"/>
          <w:right w:w="0" w:type="dxa"/>
        </w:tblCellMar>
      </w:tblPr>
      <w:tblGrid>
        <w:gridCol w:w="920"/>
        <w:gridCol w:w="1391"/>
        <w:gridCol w:w="1174"/>
        <w:gridCol w:w="1414"/>
        <w:gridCol w:w="996"/>
        <w:gridCol w:w="1419"/>
        <w:gridCol w:w="1133"/>
      </w:tblGrid>
      <w:tr>
        <w:tblPrEx>
          <w:tblCellMar>
            <w:top w:w="0" w:type="dxa"/>
            <w:left w:w="0" w:type="dxa"/>
            <w:bottom w:w="0" w:type="dxa"/>
            <w:right w:w="0" w:type="dxa"/>
          </w:tblCellMar>
        </w:tblPrEx>
        <w:trPr>
          <w:trHeight w:val="653" w:hRule="atLeast"/>
        </w:trPr>
        <w:tc>
          <w:tcPr>
            <w:tcW w:w="8446"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目</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支</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出</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绩效</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目</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标</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表</w:t>
            </w:r>
          </w:p>
        </w:tc>
      </w:tr>
      <w:tr>
        <w:tblPrEx>
          <w:tblCellMar>
            <w:top w:w="0" w:type="dxa"/>
            <w:left w:w="0" w:type="dxa"/>
            <w:bottom w:w="0" w:type="dxa"/>
            <w:right w:w="0" w:type="dxa"/>
          </w:tblCellMar>
        </w:tblPrEx>
        <w:trPr>
          <w:trHeight w:val="516" w:hRule="atLeast"/>
        </w:trPr>
        <w:tc>
          <w:tcPr>
            <w:tcW w:w="8446"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cs="宋体"/>
                <w:color w:val="00000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2021</w:t>
            </w:r>
            <w:r>
              <w:rPr>
                <w:rFonts w:hint="eastAsia" w:ascii="宋体" w:hAnsi="宋体" w:cs="宋体"/>
                <w:color w:val="000000"/>
                <w:kern w:val="0"/>
                <w:sz w:val="22"/>
                <w:szCs w:val="22"/>
              </w:rPr>
              <w:t>年）</w:t>
            </w:r>
          </w:p>
        </w:tc>
      </w:tr>
      <w:tr>
        <w:tblPrEx>
          <w:tblCellMar>
            <w:top w:w="0" w:type="dxa"/>
            <w:left w:w="0" w:type="dxa"/>
            <w:bottom w:w="0" w:type="dxa"/>
            <w:right w:w="0" w:type="dxa"/>
          </w:tblCellMar>
        </w:tblPrEx>
        <w:trPr>
          <w:trHeight w:val="679" w:hRule="atLeast"/>
        </w:trPr>
        <w:tc>
          <w:tcPr>
            <w:tcW w:w="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预算单位</w:t>
            </w:r>
          </w:p>
        </w:tc>
        <w:tc>
          <w:tcPr>
            <w:tcW w:w="3979"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cs="宋体"/>
                <w:color w:val="000000"/>
                <w:sz w:val="18"/>
                <w:szCs w:val="18"/>
              </w:rPr>
            </w:pPr>
            <w:r>
              <w:rPr>
                <w:rFonts w:hint="eastAsia" w:ascii="宋体" w:cs="宋体"/>
                <w:color w:val="000000"/>
                <w:sz w:val="18"/>
                <w:szCs w:val="18"/>
                <w:lang w:eastAsia="zh-CN"/>
              </w:rPr>
              <w:t>克孜勒苏柯尔克孜自治州</w:t>
            </w:r>
            <w:r>
              <w:rPr>
                <w:rFonts w:hint="eastAsia" w:ascii="宋体" w:cs="宋体"/>
                <w:color w:val="000000"/>
                <w:sz w:val="18"/>
                <w:szCs w:val="18"/>
              </w:rPr>
              <w:t>生态环境局</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25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cs="宋体"/>
                <w:color w:val="000000"/>
                <w:sz w:val="18"/>
                <w:szCs w:val="18"/>
              </w:rPr>
            </w:pPr>
            <w:r>
              <w:rPr>
                <w:rFonts w:hint="eastAsia" w:ascii="宋体" w:cs="宋体"/>
                <w:color w:val="000000"/>
                <w:sz w:val="18"/>
                <w:szCs w:val="18"/>
              </w:rPr>
              <w:t>群众工作经费</w:t>
            </w:r>
          </w:p>
        </w:tc>
      </w:tr>
      <w:tr>
        <w:tblPrEx>
          <w:tblCellMar>
            <w:top w:w="0" w:type="dxa"/>
            <w:left w:w="0" w:type="dxa"/>
            <w:bottom w:w="0" w:type="dxa"/>
            <w:right w:w="0" w:type="dxa"/>
          </w:tblCellMar>
        </w:tblPrEx>
        <w:trPr>
          <w:trHeight w:val="735" w:hRule="atLeast"/>
        </w:trPr>
        <w:tc>
          <w:tcPr>
            <w:tcW w:w="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项目资金（万元）</w:t>
            </w:r>
          </w:p>
        </w:tc>
        <w:tc>
          <w:tcPr>
            <w:tcW w:w="13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年度资金总额：</w:t>
            </w:r>
          </w:p>
        </w:tc>
        <w:tc>
          <w:tcPr>
            <w:tcW w:w="1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7</w:t>
            </w:r>
          </w:p>
        </w:tc>
        <w:tc>
          <w:tcPr>
            <w:tcW w:w="14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其中：财政拨款</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cs="宋体"/>
                <w:color w:val="000000"/>
                <w:sz w:val="18"/>
                <w:szCs w:val="18"/>
              </w:rPr>
            </w:pPr>
            <w:r>
              <w:rPr>
                <w:rFonts w:ascii="宋体" w:cs="宋体"/>
                <w:color w:val="000000"/>
                <w:sz w:val="18"/>
                <w:szCs w:val="18"/>
              </w:rPr>
              <w:t>7</w:t>
            </w:r>
          </w:p>
        </w:tc>
        <w:tc>
          <w:tcPr>
            <w:tcW w:w="141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其他资金</w:t>
            </w:r>
          </w:p>
        </w:tc>
        <w:tc>
          <w:tcPr>
            <w:tcW w:w="113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cs="宋体"/>
                <w:color w:val="000000"/>
                <w:sz w:val="18"/>
                <w:szCs w:val="18"/>
              </w:rPr>
            </w:pPr>
            <w:r>
              <w:rPr>
                <w:rFonts w:ascii="宋体" w:cs="宋体"/>
                <w:color w:val="000000"/>
                <w:sz w:val="18"/>
                <w:szCs w:val="18"/>
              </w:rPr>
              <w:t>0</w:t>
            </w:r>
          </w:p>
        </w:tc>
      </w:tr>
      <w:tr>
        <w:tblPrEx>
          <w:tblCellMar>
            <w:top w:w="0" w:type="dxa"/>
            <w:left w:w="0" w:type="dxa"/>
            <w:bottom w:w="0" w:type="dxa"/>
            <w:right w:w="0" w:type="dxa"/>
          </w:tblCellMar>
        </w:tblPrEx>
        <w:trPr>
          <w:trHeight w:val="1497" w:hRule="atLeast"/>
        </w:trPr>
        <w:tc>
          <w:tcPr>
            <w:tcW w:w="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项目总体目标</w:t>
            </w:r>
          </w:p>
        </w:tc>
        <w:tc>
          <w:tcPr>
            <w:tcW w:w="7526"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00" w:lineRule="exact"/>
              <w:ind w:firstLine="360" w:firstLineChars="200"/>
              <w:jc w:val="left"/>
              <w:rPr>
                <w:rFonts w:ascii="宋体" w:cs="宋体"/>
                <w:color w:val="000000"/>
                <w:sz w:val="18"/>
                <w:szCs w:val="18"/>
              </w:rPr>
            </w:pPr>
            <w:r>
              <w:rPr>
                <w:rFonts w:hint="eastAsia" w:ascii="宋体" w:cs="宋体"/>
                <w:color w:val="000000"/>
                <w:sz w:val="18"/>
                <w:szCs w:val="18"/>
              </w:rPr>
              <w:t>积极开展群众工作，深入基层，帮助群众解决实际困难，宣传国家相关政策及法律法规，维护社会稳定和长治久安、给群众办实事好事，提高农牧民的生产、生活质量，为农牧民带来实惠。</w:t>
            </w:r>
          </w:p>
        </w:tc>
      </w:tr>
      <w:tr>
        <w:tblPrEx>
          <w:tblCellMar>
            <w:top w:w="0" w:type="dxa"/>
            <w:left w:w="0" w:type="dxa"/>
            <w:bottom w:w="0" w:type="dxa"/>
            <w:right w:w="0" w:type="dxa"/>
          </w:tblCellMar>
        </w:tblPrEx>
        <w:trPr>
          <w:trHeight w:val="653" w:hRule="atLeast"/>
        </w:trPr>
        <w:tc>
          <w:tcPr>
            <w:tcW w:w="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13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358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255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0" w:type="dxa"/>
            <w:left w:w="0" w:type="dxa"/>
            <w:bottom w:w="0" w:type="dxa"/>
            <w:right w:w="0" w:type="dxa"/>
          </w:tblCellMar>
        </w:tblPrEx>
        <w:trPr>
          <w:trHeight w:val="600" w:hRule="atLeast"/>
        </w:trPr>
        <w:tc>
          <w:tcPr>
            <w:tcW w:w="9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产出指标</w:t>
            </w:r>
          </w:p>
        </w:tc>
        <w:tc>
          <w:tcPr>
            <w:tcW w:w="139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358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慰问次数（次）</w:t>
            </w:r>
          </w:p>
        </w:tc>
        <w:tc>
          <w:tcPr>
            <w:tcW w:w="25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w:t>
            </w:r>
            <w:r>
              <w:rPr>
                <w:rFonts w:ascii="宋体" w:cs="宋体"/>
                <w:color w:val="000000"/>
                <w:sz w:val="18"/>
                <w:szCs w:val="18"/>
              </w:rPr>
              <w:t>5</w:t>
            </w:r>
          </w:p>
        </w:tc>
      </w:tr>
      <w:tr>
        <w:tblPrEx>
          <w:tblCellMar>
            <w:top w:w="0" w:type="dxa"/>
            <w:left w:w="0" w:type="dxa"/>
            <w:bottom w:w="0" w:type="dxa"/>
            <w:right w:w="0"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358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为民办实事好事（次）</w:t>
            </w:r>
          </w:p>
        </w:tc>
        <w:tc>
          <w:tcPr>
            <w:tcW w:w="25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w:t>
            </w:r>
            <w:r>
              <w:rPr>
                <w:rFonts w:ascii="宋体" w:cs="宋体"/>
                <w:color w:val="000000"/>
                <w:sz w:val="18"/>
                <w:szCs w:val="18"/>
              </w:rPr>
              <w:t>6</w:t>
            </w:r>
          </w:p>
        </w:tc>
      </w:tr>
      <w:tr>
        <w:tblPrEx>
          <w:tblCellMar>
            <w:top w:w="0" w:type="dxa"/>
            <w:left w:w="0" w:type="dxa"/>
            <w:bottom w:w="0" w:type="dxa"/>
            <w:right w:w="0"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358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开展群众活动（次）</w:t>
            </w:r>
          </w:p>
        </w:tc>
        <w:tc>
          <w:tcPr>
            <w:tcW w:w="25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w:t>
            </w:r>
            <w:r>
              <w:rPr>
                <w:rFonts w:ascii="宋体" w:cs="宋体"/>
                <w:color w:val="000000"/>
                <w:sz w:val="18"/>
                <w:szCs w:val="18"/>
              </w:rPr>
              <w:t>4</w:t>
            </w:r>
          </w:p>
        </w:tc>
      </w:tr>
      <w:tr>
        <w:tblPrEx>
          <w:tblCellMar>
            <w:top w:w="0" w:type="dxa"/>
            <w:left w:w="0" w:type="dxa"/>
            <w:bottom w:w="0" w:type="dxa"/>
            <w:right w:w="0"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质量指标</w:t>
            </w:r>
          </w:p>
        </w:tc>
        <w:tc>
          <w:tcPr>
            <w:tcW w:w="358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群众活动参与率（</w:t>
            </w:r>
            <w:r>
              <w:rPr>
                <w:rFonts w:ascii="宋体" w:cs="宋体"/>
                <w:color w:val="000000"/>
                <w:sz w:val="18"/>
                <w:szCs w:val="18"/>
              </w:rPr>
              <w:t>%</w:t>
            </w:r>
            <w:r>
              <w:rPr>
                <w:rFonts w:hint="eastAsia" w:ascii="宋体" w:cs="宋体"/>
                <w:color w:val="000000"/>
                <w:sz w:val="18"/>
                <w:szCs w:val="18"/>
              </w:rPr>
              <w:t>）</w:t>
            </w:r>
          </w:p>
        </w:tc>
        <w:tc>
          <w:tcPr>
            <w:tcW w:w="25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w:t>
            </w:r>
            <w:r>
              <w:rPr>
                <w:rFonts w:ascii="宋体" w:cs="宋体"/>
                <w:color w:val="000000"/>
                <w:sz w:val="18"/>
                <w:szCs w:val="18"/>
              </w:rPr>
              <w:t>80%</w:t>
            </w:r>
          </w:p>
        </w:tc>
      </w:tr>
      <w:tr>
        <w:tblPrEx>
          <w:tblCellMar>
            <w:top w:w="0" w:type="dxa"/>
            <w:left w:w="0" w:type="dxa"/>
            <w:bottom w:w="0" w:type="dxa"/>
            <w:right w:w="0"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358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资金拨付及时率（</w:t>
            </w:r>
            <w:r>
              <w:rPr>
                <w:rFonts w:ascii="宋体" w:cs="宋体"/>
                <w:color w:val="000000"/>
                <w:sz w:val="18"/>
                <w:szCs w:val="18"/>
              </w:rPr>
              <w:t>%</w:t>
            </w:r>
            <w:r>
              <w:rPr>
                <w:rFonts w:hint="eastAsia" w:ascii="宋体" w:cs="宋体"/>
                <w:color w:val="000000"/>
                <w:sz w:val="18"/>
                <w:szCs w:val="18"/>
              </w:rPr>
              <w:t>）</w:t>
            </w:r>
          </w:p>
        </w:tc>
        <w:tc>
          <w:tcPr>
            <w:tcW w:w="25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100%</w:t>
            </w:r>
          </w:p>
        </w:tc>
      </w:tr>
      <w:tr>
        <w:tblPrEx>
          <w:tblCellMar>
            <w:top w:w="0" w:type="dxa"/>
            <w:left w:w="0" w:type="dxa"/>
            <w:bottom w:w="0" w:type="dxa"/>
            <w:right w:w="0"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成本指标</w:t>
            </w:r>
          </w:p>
        </w:tc>
        <w:tc>
          <w:tcPr>
            <w:tcW w:w="358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开展群众工作经费（万元）</w:t>
            </w:r>
          </w:p>
        </w:tc>
        <w:tc>
          <w:tcPr>
            <w:tcW w:w="25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7</w:t>
            </w:r>
          </w:p>
        </w:tc>
      </w:tr>
      <w:tr>
        <w:tblPrEx>
          <w:tblCellMar>
            <w:top w:w="0" w:type="dxa"/>
            <w:left w:w="0" w:type="dxa"/>
            <w:bottom w:w="0" w:type="dxa"/>
            <w:right w:w="0" w:type="dxa"/>
          </w:tblCellMar>
        </w:tblPrEx>
        <w:trPr>
          <w:trHeight w:val="600" w:hRule="atLeast"/>
        </w:trPr>
        <w:tc>
          <w:tcPr>
            <w:tcW w:w="9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3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经济效益指标</w:t>
            </w:r>
          </w:p>
        </w:tc>
        <w:tc>
          <w:tcPr>
            <w:tcW w:w="358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25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r>
      <w:tr>
        <w:tblPrEx>
          <w:tblCellMar>
            <w:top w:w="0" w:type="dxa"/>
            <w:left w:w="0" w:type="dxa"/>
            <w:bottom w:w="0" w:type="dxa"/>
            <w:right w:w="0"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358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提高农牧民生产生活质量</w:t>
            </w:r>
          </w:p>
        </w:tc>
        <w:tc>
          <w:tcPr>
            <w:tcW w:w="25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有效提高</w:t>
            </w:r>
          </w:p>
        </w:tc>
      </w:tr>
      <w:tr>
        <w:tblPrEx>
          <w:tblCellMar>
            <w:top w:w="0" w:type="dxa"/>
            <w:left w:w="0" w:type="dxa"/>
            <w:bottom w:w="0" w:type="dxa"/>
            <w:right w:w="0"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358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25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r>
      <w:tr>
        <w:tblPrEx>
          <w:tblCellMar>
            <w:top w:w="0" w:type="dxa"/>
            <w:left w:w="0" w:type="dxa"/>
            <w:bottom w:w="0" w:type="dxa"/>
            <w:right w:w="0"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可持续影响指标</w:t>
            </w:r>
          </w:p>
        </w:tc>
        <w:tc>
          <w:tcPr>
            <w:tcW w:w="358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维护社会稳定和长治久安</w:t>
            </w:r>
          </w:p>
        </w:tc>
        <w:tc>
          <w:tcPr>
            <w:tcW w:w="25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长期</w:t>
            </w:r>
          </w:p>
        </w:tc>
      </w:tr>
      <w:tr>
        <w:tblPrEx>
          <w:tblCellMar>
            <w:top w:w="0" w:type="dxa"/>
            <w:left w:w="0" w:type="dxa"/>
            <w:bottom w:w="0" w:type="dxa"/>
            <w:right w:w="0"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3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358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受益农牧民的满意度（</w:t>
            </w:r>
            <w:r>
              <w:rPr>
                <w:rFonts w:ascii="宋体" w:cs="宋体"/>
                <w:color w:val="000000"/>
                <w:sz w:val="18"/>
                <w:szCs w:val="18"/>
              </w:rPr>
              <w:t>%</w:t>
            </w:r>
            <w:r>
              <w:rPr>
                <w:rFonts w:hint="eastAsia" w:ascii="宋体" w:cs="宋体"/>
                <w:color w:val="000000"/>
                <w:sz w:val="18"/>
                <w:szCs w:val="18"/>
              </w:rPr>
              <w:t>）</w:t>
            </w:r>
          </w:p>
        </w:tc>
        <w:tc>
          <w:tcPr>
            <w:tcW w:w="25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hint="eastAsia" w:ascii="宋体" w:cs="宋体"/>
                <w:color w:val="000000"/>
                <w:sz w:val="18"/>
                <w:szCs w:val="18"/>
              </w:rPr>
              <w:t>≥</w:t>
            </w:r>
            <w:r>
              <w:rPr>
                <w:rFonts w:ascii="宋体" w:cs="宋体"/>
                <w:color w:val="000000"/>
                <w:sz w:val="18"/>
                <w:szCs w:val="18"/>
              </w:rPr>
              <w:t>90%</w:t>
            </w:r>
          </w:p>
        </w:tc>
      </w:tr>
    </w:tbl>
    <w:p>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color w:val="000000"/>
          <w:sz w:val="32"/>
          <w:szCs w:val="32"/>
          <w:lang w:eastAsia="zh-CN"/>
        </w:rPr>
        <w:t>克孜勒苏柯尔克孜自治州</w:t>
      </w:r>
      <w:r>
        <w:rPr>
          <w:rFonts w:hint="eastAsia" w:ascii="仿宋" w:hAnsi="仿宋" w:eastAsia="仿宋" w:cs="仿宋"/>
          <w:color w:val="000000"/>
          <w:sz w:val="32"/>
          <w:szCs w:val="32"/>
        </w:rPr>
        <w:t>生态环境局</w:t>
      </w:r>
      <w:r>
        <w:rPr>
          <w:rFonts w:hint="eastAsia" w:ascii="仿宋" w:hAnsi="仿宋" w:eastAsia="仿宋" w:cs="仿宋"/>
          <w:kern w:val="0"/>
          <w:sz w:val="32"/>
          <w:szCs w:val="32"/>
          <w:lang w:eastAsia="zh-CN"/>
        </w:rPr>
        <w:t>无其他需要说明的事项。</w:t>
      </w:r>
    </w:p>
    <w:p>
      <w:pPr>
        <w:keepNext w:val="0"/>
        <w:keepLines w:val="0"/>
        <w:pageBreakBefore w:val="0"/>
        <w:widowControl/>
        <w:kinsoku/>
        <w:wordWrap/>
        <w:overflowPunct/>
        <w:topLinePunct w:val="0"/>
        <w:autoSpaceDE/>
        <w:autoSpaceDN/>
        <w:bidi w:val="0"/>
        <w:adjustRightInd/>
        <w:snapToGrid/>
        <w:spacing w:beforeLines="50" w:line="580" w:lineRule="exact"/>
        <w:jc w:val="center"/>
        <w:textAlignment w:val="auto"/>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keepNext w:val="0"/>
        <w:keepLines w:val="0"/>
        <w:pageBreakBefore w:val="0"/>
        <w:widowControl/>
        <w:kinsoku/>
        <w:wordWrap/>
        <w:overflowPunct/>
        <w:topLinePunct w:val="0"/>
        <w:autoSpaceDE/>
        <w:autoSpaceDN/>
        <w:bidi w:val="0"/>
        <w:adjustRightInd/>
        <w:snapToGrid/>
        <w:spacing w:beforeLines="50" w:line="580" w:lineRule="exact"/>
        <w:jc w:val="center"/>
        <w:textAlignment w:val="auto"/>
        <w:outlineLvl w:val="1"/>
        <w:rPr>
          <w:rFonts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jc w:val="left"/>
        <w:textAlignment w:val="auto"/>
        <w:rPr>
          <w:rFonts w:ascii="黑体" w:hAnsi="宋体" w:eastAsia="黑体" w:cs="宋体"/>
          <w:kern w:val="0"/>
          <w:sz w:val="32"/>
          <w:szCs w:val="32"/>
        </w:rPr>
      </w:pPr>
      <w:r>
        <w:rPr>
          <w:rFonts w:hint="eastAsia" w:ascii="黑体" w:hAnsi="宋体" w:eastAsia="黑体" w:cs="宋体"/>
          <w:kern w:val="0"/>
          <w:sz w:val="32"/>
          <w:szCs w:val="32"/>
        </w:rPr>
        <w:t>名词解释：</w:t>
      </w:r>
    </w:p>
    <w:p>
      <w:pPr>
        <w:keepNext w:val="0"/>
        <w:keepLines w:val="0"/>
        <w:pageBreakBefore w:val="0"/>
        <w:kinsoku/>
        <w:wordWrap/>
        <w:overflowPunct/>
        <w:topLinePunct w:val="0"/>
        <w:autoSpaceDE/>
        <w:autoSpaceDN/>
        <w:bidi w:val="0"/>
        <w:adjustRightInd/>
        <w:snapToGrid/>
        <w:spacing w:line="580" w:lineRule="exact"/>
        <w:ind w:firstLine="642"/>
        <w:textAlignment w:val="auto"/>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w:t>
      </w:r>
      <w:r>
        <w:rPr>
          <w:rFonts w:hint="eastAsia" w:ascii="仿宋_GB2312" w:eastAsia="仿宋_GB2312"/>
          <w:sz w:val="32"/>
          <w:szCs w:val="32"/>
          <w:lang w:eastAsia="zh-CN"/>
        </w:rPr>
        <w:t>、国有资本经营预算安排</w:t>
      </w:r>
      <w:r>
        <w:rPr>
          <w:rFonts w:hint="eastAsia" w:ascii="仿宋_GB2312" w:eastAsia="仿宋_GB2312"/>
          <w:sz w:val="32"/>
          <w:szCs w:val="32"/>
        </w:rPr>
        <w:t>的财政拨款数。</w:t>
      </w:r>
    </w:p>
    <w:p>
      <w:pPr>
        <w:keepNext w:val="0"/>
        <w:keepLines w:val="0"/>
        <w:pageBreakBefore w:val="0"/>
        <w:kinsoku/>
        <w:wordWrap/>
        <w:overflowPunct/>
        <w:topLinePunct w:val="0"/>
        <w:autoSpaceDE/>
        <w:autoSpaceDN/>
        <w:bidi w:val="0"/>
        <w:adjustRightInd/>
        <w:snapToGrid/>
        <w:spacing w:line="580" w:lineRule="exact"/>
        <w:ind w:firstLine="642"/>
        <w:textAlignment w:val="auto"/>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sz w:val="32"/>
          <w:szCs w:val="32"/>
          <w:lang w:eastAsia="zh-CN"/>
        </w:rPr>
        <w:t>三</w:t>
      </w:r>
      <w:r>
        <w:rPr>
          <w:rFonts w:hint="eastAsia" w:ascii="黑体" w:hAnsi="黑体" w:eastAsia="黑体"/>
          <w:sz w:val="32"/>
          <w:szCs w:val="32"/>
        </w:rPr>
        <w:t>、基本支出：</w:t>
      </w:r>
      <w:r>
        <w:rPr>
          <w:rFonts w:hint="eastAsia" w:ascii="仿宋_GB2312" w:eastAsia="仿宋_GB2312"/>
          <w:sz w:val="32"/>
          <w:szCs w:val="32"/>
        </w:rPr>
        <w:t>包括人员经费、商品和服务支出（定额）。其中，人员经费包括工资福利支出、对个人和家庭的补助。</w:t>
      </w:r>
    </w:p>
    <w:p>
      <w:pPr>
        <w:keepNext w:val="0"/>
        <w:keepLines w:val="0"/>
        <w:pageBreakBefore w:val="0"/>
        <w:kinsoku/>
        <w:wordWrap/>
        <w:overflowPunct/>
        <w:topLinePunct w:val="0"/>
        <w:autoSpaceDE/>
        <w:autoSpaceDN/>
        <w:bidi w:val="0"/>
        <w:adjustRightInd/>
        <w:snapToGrid/>
        <w:spacing w:line="580" w:lineRule="exact"/>
        <w:ind w:firstLine="642"/>
        <w:textAlignment w:val="auto"/>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、项目支出：</w:t>
      </w:r>
      <w:r>
        <w:rPr>
          <w:rFonts w:hint="eastAsia" w:ascii="仿宋_GB2312" w:eastAsia="仿宋_GB2312"/>
          <w:sz w:val="32"/>
          <w:szCs w:val="32"/>
        </w:rPr>
        <w:t>部门（单位）支出预算的组成部分，是自治区本级部门（单位）为完成其特定的行政任务或事业发展目标，在基本支出预算之外编制的年度项目支出计划。</w:t>
      </w:r>
    </w:p>
    <w:p>
      <w:pPr>
        <w:keepNext w:val="0"/>
        <w:keepLines w:val="0"/>
        <w:pageBreakBefore w:val="0"/>
        <w:kinsoku/>
        <w:wordWrap/>
        <w:overflowPunct/>
        <w:topLinePunct w:val="0"/>
        <w:autoSpaceDE/>
        <w:autoSpaceDN/>
        <w:bidi w:val="0"/>
        <w:adjustRightInd/>
        <w:snapToGrid/>
        <w:spacing w:line="580" w:lineRule="exact"/>
        <w:ind w:firstLine="642"/>
        <w:textAlignment w:val="auto"/>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、“三公”经费：</w:t>
      </w:r>
      <w:r>
        <w:rPr>
          <w:rFonts w:hint="eastAsia" w:ascii="仿宋_GB2312" w:eastAsia="仿宋_GB2312"/>
          <w:sz w:val="32"/>
          <w:szCs w:val="32"/>
        </w:rPr>
        <w:t>指自治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80" w:lineRule="exact"/>
        <w:ind w:firstLine="642"/>
        <w:textAlignment w:val="auto"/>
        <w:rPr>
          <w:rFonts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、机关运行经费：</w:t>
      </w:r>
      <w:r>
        <w:rPr>
          <w:rFonts w:hint="eastAsia" w:ascii="仿宋_GB2312" w:eastAsia="仿宋_GB2312"/>
          <w:sz w:val="32"/>
          <w:szCs w:val="32"/>
        </w:rPr>
        <w:t>指各部门（单位）的公用经费，包括办公及印刷费、邮电费、差旅费、会议费、福利费</w:t>
      </w:r>
      <w:bookmarkStart w:id="0" w:name="_GoBack"/>
      <w:bookmarkEnd w:id="0"/>
      <w:r>
        <w:rPr>
          <w:rFonts w:hint="eastAsia" w:ascii="仿宋_GB2312" w:eastAsia="仿宋_GB2312"/>
          <w:sz w:val="32"/>
          <w:szCs w:val="32"/>
        </w:rPr>
        <w:t>、日常维修费、专用材料及一般设备购置费、办公用房水电费、办公用房取暖费、办公用房物业管理费、公务用车运行维护费及其他费用。</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克孜勒苏柯尔克孜自治州</w:t>
      </w:r>
      <w:r>
        <w:rPr>
          <w:rFonts w:hint="eastAsia" w:ascii="仿宋_GB2312" w:hAnsi="宋体" w:eastAsia="仿宋_GB2312" w:cs="宋体"/>
          <w:kern w:val="0"/>
          <w:sz w:val="32"/>
          <w:szCs w:val="32"/>
        </w:rPr>
        <w:t>生态环境局</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ascii="仿宋_GB2312" w:hAnsi="宋体" w:eastAsia="仿宋_GB2312" w:cs="宋体"/>
          <w:kern w:val="0"/>
          <w:sz w:val="32"/>
          <w:szCs w:val="32"/>
        </w:rPr>
        <w:t xml:space="preserve"> 2021</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日</w:t>
      </w:r>
    </w:p>
    <w:p/>
    <w:p/>
    <w:sectPr>
      <w:footerReference r:id="rId5" w:type="default"/>
      <w:footerReference r:id="rId6" w:type="even"/>
      <w:pgSz w:w="11906" w:h="16838"/>
      <w:pgMar w:top="2041" w:right="1276" w:bottom="2041" w:left="1276" w:header="851" w:footer="1814" w:gutter="0"/>
      <w:pgNumType w:fmt="numberInDash"/>
      <w:cols w:space="720"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631" w:y="37"/>
      <w:jc w:val="right"/>
      <w:rPr>
        <w:rStyle w:val="11"/>
        <w:rFonts w:ascii="宋体" w:hAnsi="宋体" w:eastAsia="宋体"/>
        <w:sz w:val="28"/>
      </w:rPr>
    </w:pPr>
    <w:r>
      <w:rPr>
        <w:rStyle w:val="11"/>
        <w:rFonts w:ascii="宋体" w:hAnsi="宋体" w:eastAsia="宋体"/>
        <w:sz w:val="28"/>
      </w:rPr>
      <w:fldChar w:fldCharType="begin"/>
    </w:r>
    <w:r>
      <w:rPr>
        <w:rStyle w:val="11"/>
        <w:rFonts w:ascii="宋体" w:hAnsi="宋体" w:eastAsia="宋体"/>
        <w:sz w:val="28"/>
      </w:rPr>
      <w:instrText xml:space="preserve"> PAGE </w:instrText>
    </w:r>
    <w:r>
      <w:rPr>
        <w:rStyle w:val="11"/>
        <w:rFonts w:ascii="宋体" w:hAnsi="宋体" w:eastAsia="宋体"/>
        <w:sz w:val="28"/>
      </w:rPr>
      <w:fldChar w:fldCharType="separate"/>
    </w:r>
    <w:r>
      <w:rPr>
        <w:rStyle w:val="11"/>
        <w:rFonts w:ascii="宋体" w:hAnsi="宋体" w:eastAsia="宋体"/>
        <w:sz w:val="28"/>
      </w:rPr>
      <w:t>- 32 -</w:t>
    </w:r>
    <w:r>
      <w:rPr>
        <w:rStyle w:val="11"/>
        <w:rFonts w:ascii="宋体" w:hAnsi="宋体" w:eastAsia="宋体"/>
        <w:sz w:val="28"/>
      </w:rP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756" w:y="37"/>
      <w:rPr>
        <w:rStyle w:val="11"/>
        <w:rFonts w:ascii="宋体" w:hAnsi="宋体" w:eastAsia="宋体"/>
        <w:sz w:val="28"/>
        <w:szCs w:val="28"/>
      </w:rPr>
    </w:pP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- 34 -</w:t>
    </w:r>
    <w:r>
      <w:rPr>
        <w:rStyle w:val="11"/>
        <w:rFonts w:ascii="宋体" w:hAnsi="宋体" w:eastAsia="宋体"/>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FFDF0"/>
    <w:multiLevelType w:val="singleLevel"/>
    <w:tmpl w:val="A7AFFDF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BF"/>
    <w:rsid w:val="0000648D"/>
    <w:rsid w:val="0001494E"/>
    <w:rsid w:val="00021900"/>
    <w:rsid w:val="0009522A"/>
    <w:rsid w:val="000E1995"/>
    <w:rsid w:val="000F13D9"/>
    <w:rsid w:val="0012082D"/>
    <w:rsid w:val="00121764"/>
    <w:rsid w:val="001226C7"/>
    <w:rsid w:val="001410DA"/>
    <w:rsid w:val="001662FE"/>
    <w:rsid w:val="00172C01"/>
    <w:rsid w:val="00174C8A"/>
    <w:rsid w:val="00186398"/>
    <w:rsid w:val="001B37DF"/>
    <w:rsid w:val="001D3009"/>
    <w:rsid w:val="00203C26"/>
    <w:rsid w:val="002166BA"/>
    <w:rsid w:val="002215EB"/>
    <w:rsid w:val="002301E1"/>
    <w:rsid w:val="002506EC"/>
    <w:rsid w:val="002559C0"/>
    <w:rsid w:val="00271738"/>
    <w:rsid w:val="00275DFC"/>
    <w:rsid w:val="002E208C"/>
    <w:rsid w:val="00322111"/>
    <w:rsid w:val="00324290"/>
    <w:rsid w:val="00362A55"/>
    <w:rsid w:val="003666B4"/>
    <w:rsid w:val="003741CA"/>
    <w:rsid w:val="003844F4"/>
    <w:rsid w:val="003859BD"/>
    <w:rsid w:val="00396814"/>
    <w:rsid w:val="003B4B5F"/>
    <w:rsid w:val="003C61E3"/>
    <w:rsid w:val="00413A84"/>
    <w:rsid w:val="00420546"/>
    <w:rsid w:val="00432267"/>
    <w:rsid w:val="00493EEC"/>
    <w:rsid w:val="004A0250"/>
    <w:rsid w:val="004B0144"/>
    <w:rsid w:val="004B5A44"/>
    <w:rsid w:val="004D2619"/>
    <w:rsid w:val="004F62F9"/>
    <w:rsid w:val="00520D5A"/>
    <w:rsid w:val="005257BB"/>
    <w:rsid w:val="005319D1"/>
    <w:rsid w:val="0060011F"/>
    <w:rsid w:val="00673304"/>
    <w:rsid w:val="00677FD3"/>
    <w:rsid w:val="006B11C9"/>
    <w:rsid w:val="006B6A8C"/>
    <w:rsid w:val="006D5EAD"/>
    <w:rsid w:val="006E68BE"/>
    <w:rsid w:val="00705B72"/>
    <w:rsid w:val="007219F8"/>
    <w:rsid w:val="00755255"/>
    <w:rsid w:val="00757CE5"/>
    <w:rsid w:val="007A6F04"/>
    <w:rsid w:val="007B0AD9"/>
    <w:rsid w:val="007E2CEA"/>
    <w:rsid w:val="00850F9C"/>
    <w:rsid w:val="00856CA0"/>
    <w:rsid w:val="00857A37"/>
    <w:rsid w:val="0086463B"/>
    <w:rsid w:val="00867AB0"/>
    <w:rsid w:val="00884B44"/>
    <w:rsid w:val="00896B0F"/>
    <w:rsid w:val="008A2EB4"/>
    <w:rsid w:val="008C7839"/>
    <w:rsid w:val="008F747E"/>
    <w:rsid w:val="009035BA"/>
    <w:rsid w:val="00907796"/>
    <w:rsid w:val="00931CD4"/>
    <w:rsid w:val="0093698D"/>
    <w:rsid w:val="0096028F"/>
    <w:rsid w:val="0099744C"/>
    <w:rsid w:val="009B5245"/>
    <w:rsid w:val="009C6198"/>
    <w:rsid w:val="009C7829"/>
    <w:rsid w:val="00A4194C"/>
    <w:rsid w:val="00A83DE2"/>
    <w:rsid w:val="00A86058"/>
    <w:rsid w:val="00A9706D"/>
    <w:rsid w:val="00A97767"/>
    <w:rsid w:val="00B127E0"/>
    <w:rsid w:val="00B363D2"/>
    <w:rsid w:val="00B800EB"/>
    <w:rsid w:val="00BA582F"/>
    <w:rsid w:val="00C117E5"/>
    <w:rsid w:val="00C530D3"/>
    <w:rsid w:val="00C668FB"/>
    <w:rsid w:val="00C8233C"/>
    <w:rsid w:val="00CA4E1E"/>
    <w:rsid w:val="00CF7F33"/>
    <w:rsid w:val="00D0358A"/>
    <w:rsid w:val="00D23FFA"/>
    <w:rsid w:val="00D331B2"/>
    <w:rsid w:val="00D855FD"/>
    <w:rsid w:val="00DC05BF"/>
    <w:rsid w:val="00E72E1E"/>
    <w:rsid w:val="00EB239C"/>
    <w:rsid w:val="00EE1416"/>
    <w:rsid w:val="00EF667B"/>
    <w:rsid w:val="00F0353C"/>
    <w:rsid w:val="00F23808"/>
    <w:rsid w:val="00F54FE8"/>
    <w:rsid w:val="00F649DF"/>
    <w:rsid w:val="00F6559E"/>
    <w:rsid w:val="00F830A1"/>
    <w:rsid w:val="00F83503"/>
    <w:rsid w:val="00F90952"/>
    <w:rsid w:val="00FB4D70"/>
    <w:rsid w:val="00FC0F7F"/>
    <w:rsid w:val="00FC2AEF"/>
    <w:rsid w:val="02805CB7"/>
    <w:rsid w:val="06D70144"/>
    <w:rsid w:val="0D067E00"/>
    <w:rsid w:val="0D6A0486"/>
    <w:rsid w:val="105103BE"/>
    <w:rsid w:val="10F90F91"/>
    <w:rsid w:val="147D4BE8"/>
    <w:rsid w:val="15335D01"/>
    <w:rsid w:val="1ADB67D3"/>
    <w:rsid w:val="1F3D002D"/>
    <w:rsid w:val="20C0714F"/>
    <w:rsid w:val="20E71358"/>
    <w:rsid w:val="239E2BAF"/>
    <w:rsid w:val="25350428"/>
    <w:rsid w:val="273D3D9B"/>
    <w:rsid w:val="2AC522B8"/>
    <w:rsid w:val="2AD06D9F"/>
    <w:rsid w:val="2D8215C2"/>
    <w:rsid w:val="2E7E49C9"/>
    <w:rsid w:val="308909D9"/>
    <w:rsid w:val="31CE488F"/>
    <w:rsid w:val="34237A28"/>
    <w:rsid w:val="37FA1EEC"/>
    <w:rsid w:val="3BA57BDB"/>
    <w:rsid w:val="3C180221"/>
    <w:rsid w:val="3F171122"/>
    <w:rsid w:val="47C139B4"/>
    <w:rsid w:val="4A08503E"/>
    <w:rsid w:val="4C5E1AF5"/>
    <w:rsid w:val="4CF36E1B"/>
    <w:rsid w:val="4EE514F8"/>
    <w:rsid w:val="4F620BF6"/>
    <w:rsid w:val="565F4F99"/>
    <w:rsid w:val="5A4027BC"/>
    <w:rsid w:val="5B7D35AE"/>
    <w:rsid w:val="5C9F220C"/>
    <w:rsid w:val="60404967"/>
    <w:rsid w:val="655B0BCF"/>
    <w:rsid w:val="68747EF6"/>
    <w:rsid w:val="68D00CBE"/>
    <w:rsid w:val="73E1207F"/>
    <w:rsid w:val="75764C94"/>
    <w:rsid w:val="766A6452"/>
    <w:rsid w:val="783B3438"/>
    <w:rsid w:val="79D44179"/>
    <w:rsid w:val="7F8C01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rFonts w:ascii="等线" w:hAnsi="等线" w:eastAsia="等线"/>
      <w:kern w:val="0"/>
      <w:sz w:val="18"/>
      <w:szCs w:val="18"/>
    </w:rPr>
  </w:style>
  <w:style w:type="paragraph" w:styleId="3">
    <w:name w:val="footer"/>
    <w:basedOn w:val="1"/>
    <w:link w:val="13"/>
    <w:qFormat/>
    <w:uiPriority w:val="99"/>
    <w:pPr>
      <w:tabs>
        <w:tab w:val="center" w:pos="4153"/>
        <w:tab w:val="right" w:pos="8306"/>
      </w:tabs>
      <w:snapToGrid w:val="0"/>
      <w:jc w:val="left"/>
    </w:pPr>
    <w:rPr>
      <w:rFonts w:ascii="等线" w:hAnsi="等线" w:eastAsia="等线"/>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rFonts w:ascii="等线" w:hAnsi="等线" w:eastAsia="仿宋_GB2312"/>
      <w:kern w:val="0"/>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rPr>
      <w:rFonts w:ascii="Calibri" w:hAnsi="Calibri"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customStyle="1" w:styleId="12">
    <w:name w:val="Balloon Text Char"/>
    <w:basedOn w:val="9"/>
    <w:link w:val="2"/>
    <w:semiHidden/>
    <w:qFormat/>
    <w:locked/>
    <w:uiPriority w:val="99"/>
    <w:rPr>
      <w:rFonts w:cs="Times New Roman"/>
      <w:sz w:val="18"/>
    </w:rPr>
  </w:style>
  <w:style w:type="character" w:customStyle="1" w:styleId="13">
    <w:name w:val="Footer Char"/>
    <w:basedOn w:val="9"/>
    <w:link w:val="3"/>
    <w:qFormat/>
    <w:locked/>
    <w:uiPriority w:val="99"/>
    <w:rPr>
      <w:rFonts w:cs="Times New Roman"/>
      <w:sz w:val="18"/>
      <w:szCs w:val="18"/>
    </w:rPr>
  </w:style>
  <w:style w:type="character" w:customStyle="1" w:styleId="14">
    <w:name w:val="Header Char"/>
    <w:basedOn w:val="9"/>
    <w:link w:val="4"/>
    <w:qFormat/>
    <w:locked/>
    <w:uiPriority w:val="99"/>
    <w:rPr>
      <w:rFonts w:cs="Times New Roman"/>
      <w:sz w:val="18"/>
      <w:szCs w:val="18"/>
    </w:rPr>
  </w:style>
  <w:style w:type="character" w:customStyle="1" w:styleId="15">
    <w:name w:val="Body Text Indent 3 Char"/>
    <w:basedOn w:val="9"/>
    <w:link w:val="5"/>
    <w:qFormat/>
    <w:locked/>
    <w:uiPriority w:val="99"/>
    <w:rPr>
      <w:rFonts w:eastAsia="仿宋_GB2312" w:cs="Times New Roman"/>
      <w:sz w:val="24"/>
    </w:rPr>
  </w:style>
  <w:style w:type="paragraph" w:customStyle="1" w:styleId="16">
    <w:name w:val="普通(网站)2"/>
    <w:basedOn w:val="1"/>
    <w:qFormat/>
    <w:uiPriority w:val="99"/>
    <w:rPr>
      <w:rFonts w:ascii="Calibri" w:hAnsi="Calibri" w:cs="黑体"/>
      <w:sz w:val="24"/>
    </w:rPr>
  </w:style>
  <w:style w:type="character" w:customStyle="1" w:styleId="17">
    <w:name w:val="正文文本缩进 3 字符1"/>
    <w:basedOn w:val="9"/>
    <w:semiHidden/>
    <w:qFormat/>
    <w:uiPriority w:val="99"/>
    <w:rPr>
      <w:rFonts w:ascii="Times New Roman" w:hAnsi="Times New Roman" w:eastAsia="宋体" w:cs="Times New Roman"/>
      <w:sz w:val="16"/>
      <w:szCs w:val="16"/>
    </w:rPr>
  </w:style>
  <w:style w:type="paragraph" w:styleId="18">
    <w:name w:val="List Paragraph"/>
    <w:basedOn w:val="1"/>
    <w:qFormat/>
    <w:uiPriority w:val="99"/>
    <w:pPr>
      <w:ind w:firstLine="420" w:firstLineChars="200"/>
    </w:pPr>
    <w:rPr>
      <w:rFonts w:ascii="Calibri" w:hAnsi="Calibri"/>
      <w:szCs w:val="22"/>
    </w:rPr>
  </w:style>
  <w:style w:type="paragraph" w:customStyle="1" w:styleId="19">
    <w:name w:val="普通(网站)3"/>
    <w:basedOn w:val="1"/>
    <w:qFormat/>
    <w:uiPriority w:val="99"/>
    <w:rPr>
      <w:rFonts w:ascii="Calibri" w:hAnsi="Calibri" w:cs="黑体"/>
      <w:sz w:val="24"/>
    </w:rPr>
  </w:style>
  <w:style w:type="character" w:customStyle="1" w:styleId="20">
    <w:name w:val="批注框文本 字符1"/>
    <w:basedOn w:val="9"/>
    <w:semiHidden/>
    <w:qFormat/>
    <w:uiPriority w:val="99"/>
    <w:rPr>
      <w:rFonts w:ascii="Times New Roman" w:hAnsi="Times New Roman" w:eastAsia="宋体" w:cs="Times New Roman"/>
      <w:sz w:val="18"/>
      <w:szCs w:val="18"/>
    </w:rPr>
  </w:style>
  <w:style w:type="paragraph" w:customStyle="1" w:styleId="2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2">
    <w:name w:val="普通(网站)1"/>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26</Pages>
  <Words>2017</Words>
  <Characters>11498</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2021-01-27T08:28:00Z</dcterms:created>
  <dc:creator>薛理升</dc:creator>
  <cp:lastModifiedBy>幸福</cp:lastModifiedBy>
  <cp:lastPrinted>2021-02-23T10:35:00Z</cp:lastPrinted>
  <dcterms:modified xsi:type="dcterms:W3CDTF">2021-03-02T03:09:32Z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388861510_btnclosed</vt:lpwstr>
  </property>
</Properties>
</file>