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csmb"/>
      <w:r>
        <w:rPr>
          <w:rFonts w:hint="eastAsia" w:ascii="楷体_GB2312" w:hAnsi="黑体" w:eastAsia="楷体_GB2312"/>
          <w:spacing w:val="-30000"/>
          <w:w w:val="1"/>
          <w:sz w:val="10"/>
          <w:szCs w:val="10"/>
          <w:lang w:eastAsia="zh-CN"/>
        </w:rPr>
        <w:t>、</w:t>
      </w:r>
      <w:r>
        <w:rPr>
          <w:rFonts w:hint="eastAsia" w:ascii="楷体_GB2312" w:hAnsi="黑体" w:eastAsia="楷体_GB2312"/>
          <w:spacing w:val="-30000"/>
          <w:w w:val="1"/>
          <w:sz w:val="10"/>
          <w:szCs w:val="10"/>
        </w:rPr>
        <w:t>厅领导，本厅有关</w:t>
      </w:r>
      <w:bookmarkEnd w:id="0"/>
      <w:bookmarkStart w:id="1" w:name="yinfadanwei"/>
      <w:r>
        <w:rPr>
          <w:rFonts w:hint="eastAsia" w:ascii="楷体_GB2312" w:hAnsi="黑体" w:eastAsia="楷体_GB2312"/>
          <w:spacing w:val="-30000"/>
          <w:w w:val="1"/>
          <w:sz w:val="10"/>
          <w:szCs w:val="10"/>
          <w:lang w:eastAsia="zh-CN"/>
        </w:rPr>
        <w:t>科室</w:t>
      </w:r>
      <w:r>
        <w:rPr>
          <w:rFonts w:hint="eastAsia" w:ascii="楷体_GB2312" w:hAnsi="黑体" w:eastAsia="楷体_GB2312"/>
          <w:spacing w:val="-30000"/>
          <w:w w:val="1"/>
          <w:sz w:val="10"/>
          <w:szCs w:val="10"/>
        </w:rPr>
        <w:t>新疆维吾尔自治</w:t>
      </w:r>
      <w:bookmarkEnd w:id="1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残疾人联合会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2021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4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 w:val="0"/>
          <w:kern w:val="0"/>
          <w:sz w:val="32"/>
          <w:szCs w:val="32"/>
        </w:rPr>
        <w:t>第一部分 克孜勒苏柯尔克孜自治州</w:t>
      </w:r>
      <w:r>
        <w:rPr>
          <w:rFonts w:hint="eastAsia" w:ascii="仿宋_GB2312" w:hAnsi="宋体" w:eastAsia="仿宋_GB2312"/>
          <w:b/>
          <w:bCs w:val="0"/>
          <w:kern w:val="0"/>
          <w:sz w:val="32"/>
          <w:szCs w:val="32"/>
          <w:lang w:val="en-US" w:eastAsia="zh-CN"/>
        </w:rPr>
        <w:t>残疾人联合会</w:t>
      </w:r>
      <w:r>
        <w:rPr>
          <w:rFonts w:hint="eastAsia" w:ascii="仿宋_GB2312" w:hAnsi="宋体" w:eastAsia="仿宋_GB2312"/>
          <w:b/>
          <w:bCs w:val="0"/>
          <w:kern w:val="0"/>
          <w:sz w:val="32"/>
          <w:szCs w:val="32"/>
        </w:rPr>
        <w:t>概况</w:t>
      </w:r>
    </w:p>
    <w:p>
      <w:pPr>
        <w:widowControl/>
        <w:spacing w:line="44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部门（单位）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概况预算公开表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部门（单位）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部门（单位）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部门（单位）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部门（单位）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一、关于克孜勒苏柯尔克孜自治州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二、关于克孜勒苏柯尔克孜自治州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三、关于克孜勒苏柯尔克孜自治州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克孜勒苏柯尔克孜自治州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五、关于克孜勒苏柯尔克孜自治州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六、关于克孜勒苏柯尔克孜自治州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七、关于克孜勒苏柯尔克孜自治州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年一般公共预算项目支出情况说明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八、关于克孜勒苏柯尔克孜自治州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九、关于克孜勒苏柯尔克孜自治州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克孜勒苏柯尔克孜自治州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残疾人联合会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Autospacing="0" w:line="540" w:lineRule="exact"/>
        <w:ind w:firstLine="640" w:firstLineChars="200"/>
        <w:textAlignment w:val="auto"/>
        <w:outlineLvl w:val="9"/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克孜勒苏柯尔克孜自治州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残疾人联合会</w:t>
      </w: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主要职能：自治州残联是将残疾人自身代表组织、社会福利团体和事业管理机构融为一体的残疾人事业团体，具有“代表、服务、管理”职能；代表残疾人的共同利益，维护残疾人合法权益；开展各项业务和活动，直接为残疾人服务；承担政府委托的部分行政职能，发挥和管理残疾人事业。自治州残联由自治州人民政府领导联系，业务上接受有关部门对口指导，在自治州计划中单列户头，与各县、市建立业务关系。其机关的主要职责是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Autospacing="0" w:line="540" w:lineRule="exact"/>
        <w:ind w:firstLine="420"/>
        <w:textAlignment w:val="auto"/>
        <w:outlineLvl w:val="9"/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（一）听取残疾人意见，反映残疾人需求，维护残疾人权益，为残疾人服务。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Autospacing="0" w:line="540" w:lineRule="exact"/>
        <w:ind w:firstLine="420"/>
        <w:textAlignment w:val="auto"/>
        <w:outlineLvl w:val="9"/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（二）团结、教育残疾人遵守法律、履行应尽的义务，发扬乐观进取精神，自尊、自信、自强、自立，为社会主义建设贡献力量。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Autospacing="0" w:line="540" w:lineRule="exact"/>
        <w:ind w:firstLine="420"/>
        <w:textAlignment w:val="auto"/>
        <w:outlineLvl w:val="9"/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（三）弘扬人道主义，宣传残疾人事业，沟通政府、社会与残疾人之间的联系，动员社会理解、尊重、关心、帮助残疾人。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Autospacing="0" w:line="540" w:lineRule="exact"/>
        <w:ind w:firstLine="420"/>
        <w:textAlignment w:val="auto"/>
        <w:outlineLvl w:val="9"/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（四）开展残疾人康复、教育、劳动就业、扶贫、文化、体育、科研、用品供应、福利、社会服务、无障碍设施和残疾预防等工作，创造良好的环境和条件，扶助残疾人平等参与社会生活。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Autospacing="0" w:line="540" w:lineRule="exact"/>
        <w:ind w:firstLine="420"/>
        <w:textAlignment w:val="auto"/>
        <w:outlineLvl w:val="9"/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（五）协助政府研究、制定和实施残疾人事业的法规、政策、规划和计划，对有关业务领域进行指导和管理。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Autospacing="0" w:line="540" w:lineRule="exact"/>
        <w:ind w:firstLine="420"/>
        <w:textAlignment w:val="auto"/>
        <w:outlineLvl w:val="9"/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（六）承担自治区人民政府残疾人工作协调委员会的日常工作。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Autospacing="0" w:line="540" w:lineRule="exact"/>
        <w:ind w:firstLine="420"/>
        <w:textAlignment w:val="auto"/>
        <w:outlineLvl w:val="9"/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（七）负责对各类残疾人社会团体组织进行监督管理。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Autospacing="0" w:line="540" w:lineRule="exact"/>
        <w:ind w:firstLine="420"/>
        <w:textAlignment w:val="auto"/>
        <w:outlineLvl w:val="9"/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（八）开展为发展残疾人事业的募捐、助残活动。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Autospacing="0" w:line="540" w:lineRule="exact"/>
        <w:ind w:firstLine="420"/>
        <w:textAlignment w:val="auto"/>
        <w:outlineLvl w:val="9"/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（九）开展残疾人事业的对外交流和合作。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Autospacing="0" w:line="540" w:lineRule="exact"/>
        <w:ind w:firstLine="420"/>
        <w:textAlignment w:val="auto"/>
        <w:outlineLvl w:val="9"/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（十）承办自治州党委、自治州人民政府交办的有关事项。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414141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克孜勒苏柯尔克孜自治州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残疾人联合会</w:t>
      </w:r>
      <w:r>
        <w:rPr>
          <w:rFonts w:hint="eastAsia" w:ascii="仿宋" w:hAnsi="仿宋" w:eastAsia="仿宋" w:cs="宋体"/>
          <w:color w:val="414141"/>
          <w:kern w:val="0"/>
          <w:sz w:val="32"/>
          <w:szCs w:val="32"/>
          <w:shd w:val="clear" w:color="auto" w:fill="FFFFFF"/>
          <w:lang w:val="en-US" w:eastAsia="zh-CN" w:bidi="ar-SA"/>
        </w:rPr>
        <w:t xml:space="preserve">无下属预算单位，下设5个科室1个中心，分别是：办公室、宣教部、康复部、维权部、计财部，残疾人康复就业综合服务中心及辅具器具中心等。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414141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克孜勒苏柯尔克孜自治州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残疾人联合会</w:t>
      </w:r>
      <w:r>
        <w:rPr>
          <w:rFonts w:hint="eastAsia" w:ascii="仿宋" w:hAnsi="仿宋" w:eastAsia="仿宋" w:cs="宋体"/>
          <w:color w:val="414141"/>
          <w:kern w:val="0"/>
          <w:sz w:val="32"/>
          <w:szCs w:val="32"/>
          <w:shd w:val="clear" w:color="auto" w:fill="FFFFFF"/>
          <w:lang w:val="en-US" w:eastAsia="zh-CN" w:bidi="ar-SA"/>
        </w:rPr>
        <w:t>编制数24，实有人数 34人，其中：在职22人，增加1人； 退休12人；离休0人，增加0人。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414141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Autospacing="0" w:line="560" w:lineRule="exact"/>
        <w:ind w:firstLine="420"/>
        <w:textAlignment w:val="auto"/>
        <w:outlineLvl w:val="9"/>
        <w:rPr>
          <w:rFonts w:hint="eastAsia" w:ascii="仿宋" w:hAnsi="仿宋" w:eastAsia="仿宋" w:cs="宋体"/>
          <w:color w:val="414141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Autospacing="0" w:line="560" w:lineRule="exact"/>
        <w:ind w:firstLine="420"/>
        <w:textAlignment w:val="auto"/>
        <w:outlineLvl w:val="9"/>
        <w:rPr>
          <w:rFonts w:hint="eastAsia" w:ascii="仿宋" w:hAnsi="仿宋" w:eastAsia="仿宋" w:cs="宋体"/>
          <w:color w:val="414141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Autospacing="0" w:line="560" w:lineRule="exact"/>
        <w:textAlignment w:val="auto"/>
        <w:outlineLvl w:val="9"/>
        <w:rPr>
          <w:rFonts w:hint="eastAsia" w:ascii="仿宋" w:hAnsi="仿宋" w:eastAsia="仿宋" w:cs="宋体"/>
          <w:color w:val="414141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/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/>
          <w:kern w:val="0"/>
          <w:sz w:val="32"/>
          <w:szCs w:val="32"/>
        </w:rPr>
        <w:t>年部门（单位）预算公开表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部门（单位）收支总体情况表</w:t>
      </w:r>
    </w:p>
    <w:p>
      <w:pPr>
        <w:widowControl/>
        <w:spacing w:line="280" w:lineRule="exact"/>
        <w:outlineLvl w:val="1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 克孜勒苏柯尔克孜自治州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残疾人联合会</w:t>
      </w:r>
      <w:r>
        <w:rPr>
          <w:rFonts w:hint="eastAsia" w:ascii="仿宋_GB2312" w:hAnsi="宋体" w:eastAsia="仿宋_GB2312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单位：万元</w:t>
      </w:r>
      <w:r>
        <w:rPr>
          <w:rFonts w:hint="eastAsia" w:ascii="仿宋_GB2312" w:hAnsi="宋体" w:eastAsia="仿宋_GB2312"/>
          <w:kern w:val="0"/>
          <w:sz w:val="24"/>
        </w:rPr>
        <w:t xml:space="preserve">  </w:t>
      </w:r>
    </w:p>
    <w:tbl>
      <w:tblPr>
        <w:tblStyle w:val="10"/>
        <w:tblW w:w="86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4"/>
        <w:gridCol w:w="1059"/>
        <w:gridCol w:w="2829"/>
        <w:gridCol w:w="113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               目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一、财政拨款（补助）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468.32 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一般公共预算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468.32 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政府性基金预算</w:t>
            </w:r>
          </w:p>
        </w:tc>
        <w:tc>
          <w:tcPr>
            <w:tcW w:w="1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国有资本经营预算</w:t>
            </w:r>
          </w:p>
        </w:tc>
        <w:tc>
          <w:tcPr>
            <w:tcW w:w="1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教育收费（财政专户）</w:t>
            </w:r>
          </w:p>
        </w:tc>
        <w:tc>
          <w:tcPr>
            <w:tcW w:w="1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 文化体育与传媒支出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510.32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单位其他资金收入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上级专项收入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卫生健康支出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 资源勘探工业信息等支出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 自然资源海洋气象等支出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 粮油物资管理支出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 灾害防治及应急管理支出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 抗疫特别国债安排的支出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  年  收  入  小  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480.32 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  年  支  出  小  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510.32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单位上年预算结余（不包含国库集中支付额度结余）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入      总      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510.32 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出  总   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510.32 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部门（单位）收入总体情况表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编制部门（单位）：克孜勒苏柯尔克孜自治州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残疾人联合会</w:t>
      </w:r>
      <w:r>
        <w:rPr>
          <w:rFonts w:hint="eastAsia" w:ascii="仿宋_GB2312" w:hAnsi="宋体" w:eastAsia="仿宋_GB2312"/>
          <w:kern w:val="0"/>
          <w:sz w:val="24"/>
        </w:rPr>
        <w:t xml:space="preserve">             单位：万元</w:t>
      </w:r>
    </w:p>
    <w:tbl>
      <w:tblPr>
        <w:tblStyle w:val="10"/>
        <w:tblpPr w:leftFromText="180" w:rightFromText="180" w:vertAnchor="text" w:horzAnchor="page" w:tblpX="1133" w:tblpY="252"/>
        <w:tblOverlap w:val="never"/>
        <w:tblW w:w="98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464"/>
        <w:gridCol w:w="464"/>
        <w:gridCol w:w="1762"/>
        <w:gridCol w:w="914"/>
        <w:gridCol w:w="914"/>
        <w:gridCol w:w="404"/>
        <w:gridCol w:w="404"/>
        <w:gridCol w:w="432"/>
        <w:gridCol w:w="404"/>
        <w:gridCol w:w="404"/>
        <w:gridCol w:w="404"/>
        <w:gridCol w:w="404"/>
        <w:gridCol w:w="809"/>
        <w:gridCol w:w="389"/>
        <w:gridCol w:w="80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政府性基金预算拨款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教育收费（财政专户）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单位其他资金收入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上级专项收入</w:t>
            </w:r>
          </w:p>
        </w:tc>
        <w:tc>
          <w:tcPr>
            <w:tcW w:w="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单位上年预算结余（不包含国库集中支付额度结余）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510.32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468.32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  <w:t>社会保障和就业支出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510.32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468.32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510.32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468.32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行政运行（残疾人事业）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383.32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383.32 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127.00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510.32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468.32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12.00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kern w:val="0"/>
          <w:sz w:val="24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部门（单位）支出总体情况表</w:t>
      </w: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 克孜勒苏柯尔克孜自治州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残疾人联合会</w:t>
      </w:r>
      <w:r>
        <w:rPr>
          <w:rFonts w:hint="eastAsia" w:ascii="仿宋_GB2312" w:hAnsi="宋体" w:eastAsia="仿宋_GB2312"/>
          <w:kern w:val="0"/>
          <w:sz w:val="24"/>
        </w:rPr>
        <w:t xml:space="preserve">           单位：万元</w:t>
      </w:r>
    </w:p>
    <w:tbl>
      <w:tblPr>
        <w:tblStyle w:val="10"/>
        <w:tblW w:w="89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644"/>
        <w:gridCol w:w="644"/>
        <w:gridCol w:w="2245"/>
        <w:gridCol w:w="1302"/>
        <w:gridCol w:w="1302"/>
        <w:gridCol w:w="123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6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510.32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383.32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510.32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383.32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510.32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383.32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行政运行（残疾人事业）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383.32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383.32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127.00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127.00 </w:t>
            </w:r>
          </w:p>
        </w:tc>
      </w:tr>
    </w:tbl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kern w:val="0"/>
          <w:sz w:val="24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编制部门（单位）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：</w:t>
      </w:r>
      <w:r>
        <w:rPr>
          <w:rFonts w:hint="eastAsia" w:ascii="仿宋_GB2312" w:hAnsi="宋体" w:eastAsia="仿宋_GB2312"/>
          <w:kern w:val="0"/>
          <w:sz w:val="24"/>
        </w:rPr>
        <w:t>克孜勒苏柯尔克孜自治州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残疾人联合会</w:t>
      </w:r>
      <w:r>
        <w:rPr>
          <w:rFonts w:hint="eastAsia"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kern w:val="0"/>
          <w:szCs w:val="21"/>
        </w:rPr>
        <w:t xml:space="preserve">     </w:t>
      </w:r>
      <w:r>
        <w:rPr>
          <w:rFonts w:hint="eastAsia" w:ascii="仿宋_GB2312" w:hAnsi="宋体" w:eastAsia="仿宋_GB2312"/>
          <w:kern w:val="0"/>
          <w:szCs w:val="21"/>
          <w:lang w:val="en-US" w:eastAsia="zh-CN"/>
        </w:rPr>
        <w:t xml:space="preserve">           单位：万元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                          </w:t>
      </w:r>
    </w:p>
    <w:tbl>
      <w:tblPr>
        <w:tblStyle w:val="10"/>
        <w:tblW w:w="9087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037"/>
        <w:gridCol w:w="1"/>
        <w:gridCol w:w="2175"/>
        <w:gridCol w:w="1196"/>
        <w:gridCol w:w="1075"/>
        <w:gridCol w:w="1118"/>
        <w:gridCol w:w="1118"/>
        <w:gridCol w:w="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6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65" w:hRule="atLeas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一、财政拨款（补助）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468.32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468.32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国有资本经营预算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7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468.32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468.32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4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  年  收  入  小  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468.32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bidi="ar"/>
              </w:rPr>
              <w:t>本  年  支  出  小  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468.32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468.32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单位上年预算结余（不包含国库集中支付额度结余）库集中支付额度结余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bidi="ar"/>
              </w:rPr>
              <w:t>230 转移性支出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2" w:hRule="exact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468.32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468.32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468.32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36"/>
        <w:gridCol w:w="600"/>
        <w:gridCol w:w="2523"/>
        <w:gridCol w:w="1344"/>
        <w:gridCol w:w="1842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编制部门（单位）： 克孜勒苏柯尔克孜自治州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残疾人联合会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4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3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其他残疾人事业支出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行政运行（残疾人事业）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383.32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383.32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468.32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383.32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10"/>
        <w:tblW w:w="9328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编制部门（单位）： 克孜勒苏柯尔克孜自治州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残疾人联合会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单位：万元</w:t>
            </w:r>
          </w:p>
          <w:tbl>
            <w:tblPr>
              <w:tblStyle w:val="10"/>
              <w:tblW w:w="8920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9"/>
              <w:gridCol w:w="969"/>
              <w:gridCol w:w="2726"/>
              <w:gridCol w:w="1211"/>
              <w:gridCol w:w="1522"/>
              <w:gridCol w:w="1523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193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经济分类科目编码</w:t>
                  </w:r>
                </w:p>
              </w:tc>
              <w:tc>
                <w:tcPr>
                  <w:tcW w:w="272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经济分类科目名称</w:t>
                  </w:r>
                </w:p>
              </w:tc>
              <w:tc>
                <w:tcPr>
                  <w:tcW w:w="121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304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一般公共预算支出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96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类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款</w:t>
                  </w:r>
                </w:p>
              </w:tc>
              <w:tc>
                <w:tcPr>
                  <w:tcW w:w="27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1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52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人员经费</w:t>
                  </w:r>
                </w:p>
              </w:tc>
              <w:tc>
                <w:tcPr>
                  <w:tcW w:w="152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公用经费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96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7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1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5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52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**</w:t>
                  </w:r>
                </w:p>
              </w:tc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**</w:t>
                  </w:r>
                </w:p>
              </w:tc>
              <w:tc>
                <w:tcPr>
                  <w:tcW w:w="2726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**</w:t>
                  </w:r>
                </w:p>
              </w:tc>
              <w:tc>
                <w:tcPr>
                  <w:tcW w:w="1211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</w:trPr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12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383.32 </w:t>
                  </w:r>
                </w:p>
              </w:tc>
              <w:tc>
                <w:tcPr>
                  <w:tcW w:w="152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332.21 </w:t>
                  </w: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51.11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</w:trPr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301</w:t>
                  </w:r>
                </w:p>
              </w:tc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2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基本工资</w:t>
                  </w:r>
                </w:p>
              </w:tc>
              <w:tc>
                <w:tcPr>
                  <w:tcW w:w="12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92.86 </w:t>
                  </w:r>
                </w:p>
              </w:tc>
              <w:tc>
                <w:tcPr>
                  <w:tcW w:w="152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92.86 </w:t>
                  </w: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</w:trPr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301</w:t>
                  </w:r>
                </w:p>
              </w:tc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2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津贴补贴</w:t>
                  </w:r>
                </w:p>
              </w:tc>
              <w:tc>
                <w:tcPr>
                  <w:tcW w:w="12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116.03 </w:t>
                  </w:r>
                </w:p>
              </w:tc>
              <w:tc>
                <w:tcPr>
                  <w:tcW w:w="152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116.03 </w:t>
                  </w: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</w:trPr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301</w:t>
                  </w:r>
                </w:p>
              </w:tc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2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奖金</w:t>
                  </w:r>
                </w:p>
              </w:tc>
              <w:tc>
                <w:tcPr>
                  <w:tcW w:w="12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22.15 </w:t>
                  </w:r>
                </w:p>
              </w:tc>
              <w:tc>
                <w:tcPr>
                  <w:tcW w:w="152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22.15 </w:t>
                  </w: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301</w:t>
                  </w:r>
                </w:p>
              </w:tc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2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机关事业单位基本养老保险缴费</w:t>
                  </w:r>
                </w:p>
              </w:tc>
              <w:tc>
                <w:tcPr>
                  <w:tcW w:w="12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30.52 </w:t>
                  </w:r>
                </w:p>
              </w:tc>
              <w:tc>
                <w:tcPr>
                  <w:tcW w:w="152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30.52 </w:t>
                  </w: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</w:trPr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301</w:t>
                  </w:r>
                </w:p>
              </w:tc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其他社会保障缴费</w:t>
                  </w:r>
                </w:p>
              </w:tc>
              <w:tc>
                <w:tcPr>
                  <w:tcW w:w="12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21.62 </w:t>
                  </w:r>
                </w:p>
              </w:tc>
              <w:tc>
                <w:tcPr>
                  <w:tcW w:w="152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21.62 </w:t>
                  </w: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</w:trPr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301</w:t>
                  </w:r>
                </w:p>
              </w:tc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2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住房公积金</w:t>
                  </w:r>
                </w:p>
              </w:tc>
              <w:tc>
                <w:tcPr>
                  <w:tcW w:w="12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21.99 </w:t>
                  </w:r>
                </w:p>
              </w:tc>
              <w:tc>
                <w:tcPr>
                  <w:tcW w:w="152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21.99 </w:t>
                  </w: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</w:trPr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302</w:t>
                  </w:r>
                </w:p>
              </w:tc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2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办公费</w:t>
                  </w:r>
                </w:p>
              </w:tc>
              <w:tc>
                <w:tcPr>
                  <w:tcW w:w="12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1.00 </w:t>
                  </w:r>
                </w:p>
              </w:tc>
              <w:tc>
                <w:tcPr>
                  <w:tcW w:w="152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1.00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</w:trPr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302</w:t>
                  </w:r>
                </w:p>
              </w:tc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2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邮电费</w:t>
                  </w:r>
                </w:p>
              </w:tc>
              <w:tc>
                <w:tcPr>
                  <w:tcW w:w="12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2.30 </w:t>
                  </w:r>
                </w:p>
              </w:tc>
              <w:tc>
                <w:tcPr>
                  <w:tcW w:w="152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2.30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</w:trPr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302</w:t>
                  </w:r>
                </w:p>
              </w:tc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2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取暖费</w:t>
                  </w:r>
                </w:p>
              </w:tc>
              <w:tc>
                <w:tcPr>
                  <w:tcW w:w="12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44.13 </w:t>
                  </w:r>
                </w:p>
              </w:tc>
              <w:tc>
                <w:tcPr>
                  <w:tcW w:w="152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44.13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</w:trPr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302</w:t>
                  </w:r>
                </w:p>
              </w:tc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2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工会经费</w:t>
                  </w:r>
                </w:p>
              </w:tc>
              <w:tc>
                <w:tcPr>
                  <w:tcW w:w="12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1.31 </w:t>
                  </w:r>
                </w:p>
              </w:tc>
              <w:tc>
                <w:tcPr>
                  <w:tcW w:w="152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1.31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</w:trPr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302</w:t>
                  </w:r>
                </w:p>
              </w:tc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2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福利费</w:t>
                  </w:r>
                </w:p>
              </w:tc>
              <w:tc>
                <w:tcPr>
                  <w:tcW w:w="12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2.37 </w:t>
                  </w:r>
                </w:p>
              </w:tc>
              <w:tc>
                <w:tcPr>
                  <w:tcW w:w="152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2.37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</w:trPr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303</w:t>
                  </w:r>
                </w:p>
              </w:tc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2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退休费</w:t>
                  </w:r>
                </w:p>
              </w:tc>
              <w:tc>
                <w:tcPr>
                  <w:tcW w:w="12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10.02 </w:t>
                  </w:r>
                </w:p>
              </w:tc>
              <w:tc>
                <w:tcPr>
                  <w:tcW w:w="152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10.02 </w:t>
                  </w: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</w:trPr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303</w:t>
                  </w:r>
                </w:p>
              </w:tc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2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抚恤金</w:t>
                  </w:r>
                </w:p>
              </w:tc>
              <w:tc>
                <w:tcPr>
                  <w:tcW w:w="12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0.92 </w:t>
                  </w:r>
                </w:p>
              </w:tc>
              <w:tc>
                <w:tcPr>
                  <w:tcW w:w="152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0.92 </w:t>
                  </w: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</w:trPr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303</w:t>
                  </w:r>
                </w:p>
              </w:tc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2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生活补助</w:t>
                  </w:r>
                </w:p>
              </w:tc>
              <w:tc>
                <w:tcPr>
                  <w:tcW w:w="12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1.78 </w:t>
                  </w:r>
                </w:p>
              </w:tc>
              <w:tc>
                <w:tcPr>
                  <w:tcW w:w="152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1.78 </w:t>
                  </w: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</w:trPr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303</w:t>
                  </w:r>
                </w:p>
              </w:tc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2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奖励金</w:t>
                  </w:r>
                </w:p>
              </w:tc>
              <w:tc>
                <w:tcPr>
                  <w:tcW w:w="12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0.92 </w:t>
                  </w:r>
                </w:p>
              </w:tc>
              <w:tc>
                <w:tcPr>
                  <w:tcW w:w="152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0.92 </w:t>
                  </w: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</w:trPr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303</w:t>
                  </w:r>
                </w:p>
              </w:tc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2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其他对个人和家庭的补助</w:t>
                  </w:r>
                </w:p>
              </w:tc>
              <w:tc>
                <w:tcPr>
                  <w:tcW w:w="12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13.40 </w:t>
                  </w:r>
                </w:p>
              </w:tc>
              <w:tc>
                <w:tcPr>
                  <w:tcW w:w="152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13.40 </w:t>
                  </w: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仿宋" w:hAnsi="仿宋" w:eastAsia="仿宋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bookmarkStart w:id="2" w:name="_GoBack"/>
      <w:bookmarkEnd w:id="2"/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10"/>
        <w:tblW w:w="9532" w:type="dxa"/>
        <w:tblInd w:w="-3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10"/>
        <w:gridCol w:w="480"/>
        <w:gridCol w:w="1050"/>
        <w:gridCol w:w="1095"/>
        <w:gridCol w:w="543"/>
        <w:gridCol w:w="56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375" w:hRule="atLeast"/>
        </w:trPr>
        <w:tc>
          <w:tcPr>
            <w:tcW w:w="945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405" w:hRule="atLeast"/>
        </w:trPr>
        <w:tc>
          <w:tcPr>
            <w:tcW w:w="702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克孜勒苏柯尔克孜自治州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残疾人联合会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52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543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5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0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095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9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109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0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其他残疾人事业支出</w:t>
            </w:r>
          </w:p>
        </w:tc>
        <w:tc>
          <w:tcPr>
            <w:tcW w:w="109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联建经费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0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其他残疾人事业支出</w:t>
            </w:r>
          </w:p>
        </w:tc>
        <w:tc>
          <w:tcPr>
            <w:tcW w:w="109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残疾人就业保障金支出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8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9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 克孜勒苏柯尔克孜自治州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残疾人联合会</w:t>
      </w:r>
      <w:r>
        <w:rPr>
          <w:rFonts w:hint="eastAsia" w:ascii="仿宋_GB2312" w:hAnsi="宋体" w:eastAsia="仿宋_GB2312"/>
          <w:kern w:val="0"/>
          <w:sz w:val="24"/>
        </w:rPr>
        <w:t xml:space="preserve">        单位：万元                                               </w:t>
      </w:r>
    </w:p>
    <w:tbl>
      <w:tblPr>
        <w:tblStyle w:val="10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4.5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 克孜勒苏柯尔克孜自治州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残疾人联合会</w:t>
      </w:r>
      <w:r>
        <w:rPr>
          <w:rFonts w:hint="eastAsia" w:ascii="仿宋_GB2312" w:hAnsi="宋体" w:eastAsia="仿宋_GB2312"/>
          <w:kern w:val="0"/>
          <w:sz w:val="24"/>
        </w:rPr>
        <w:t xml:space="preserve">      单位：万元                                              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无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ind w:firstLine="562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kern w:val="0"/>
          <w:sz w:val="24"/>
        </w:rPr>
        <w:t>克孜勒苏柯尔克孜自治州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残疾人联合会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年没有使用政府性基金预算拨款安排的支出，政府性基金预算支出情况表为空。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/>
          <w:kern w:val="0"/>
          <w:sz w:val="32"/>
          <w:szCs w:val="32"/>
        </w:rPr>
        <w:t>年克孜勒苏柯尔克孜自治州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残疾人联合会</w:t>
      </w: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kern w:val="0"/>
          <w:sz w:val="32"/>
          <w:szCs w:val="32"/>
        </w:rPr>
        <w:t>克孜勒苏柯尔克孜自治州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残疾人联合会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按照全口径预算的原则，克孜勒苏柯尔克孜自治州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年所有收入和支出均纳入部门（单位）预算管理。收支总预算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510.32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468.32万元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、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上级专项收入12万元，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上年预算结余（不包含国库集中支付额度）30万元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510.32万元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</w:rPr>
        <w:t>克孜勒苏柯尔克孜自治州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克孜勒苏柯尔克孜自治州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残疾人联合会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收入预算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510.32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468.32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92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2020年6月份调入1人人员经费及公用经费增加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国有资本经营预算未安排。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上级专项收入12万元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与上年预算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</w:rPr>
        <w:t>克孜勒苏柯尔克孜自治州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克孜勒苏柯尔克孜自治州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年支出预算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510.32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383.32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2020年6月份调入1人人员经费及公用经费增加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上年预算项目结余减少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</w:rPr>
        <w:t>克孜勒苏柯尔克孜自治州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468.32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收入全部为一般公共预算拨款，无政府性基金预算拨款和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国有资本经营预算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收入预算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包括：一般公共预算拨款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468.32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万元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一般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公共预算支出包括：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468.32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主要用于人员经费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332.21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万元；公用经费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51.11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群众工作经费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5万元；残疾人就业保障金项目80万元。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kern w:val="0"/>
          <w:sz w:val="32"/>
          <w:szCs w:val="32"/>
        </w:rPr>
        <w:t>克孜勒苏柯尔克孜自治州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克孜勒苏柯尔克孜自治州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合计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468.32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，其中：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383.32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23.02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6.38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2020年6月份调入1人，人员经费及公用经费增加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一样，主要原因：项目无变化，金额一致。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  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社会保障和就业支出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类：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208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468.32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</w:t>
      </w:r>
    </w:p>
    <w:p>
      <w:pPr>
        <w:spacing w:line="560" w:lineRule="exact"/>
        <w:ind w:firstLine="643" w:firstLineChars="200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类：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残疾人事业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款：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）行政运行（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383.32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增加23.02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增加6.38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2020年6月份调入1人，人员经费及公用经费增加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类：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残疾人事业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款：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其他残疾人事业支出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一样。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</w:rPr>
        <w:t>克孜勒苏柯尔克孜自治州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克孜勒苏柯尔克孜自治州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383.32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332.21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92.86万元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116.03万元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22.15万元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30.52万元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21.62万元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21.99万元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10.02万元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、抚恤金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1.78万元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奖励金0.92万元、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其他对个人和家庭的补助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公用经费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51.11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44.13万元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1.31万元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2.37万元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黑体" w:eastAsia="黑体"/>
          <w:kern w:val="0"/>
          <w:sz w:val="32"/>
          <w:szCs w:val="32"/>
        </w:rPr>
        <w:t>克孜勒苏柯尔克孜自治州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1、残疾人就业保障金项目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项目名称：残疾人就业保障金支出项目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设立的政策依据：新财非税【2016】28号，克财综【2016】56号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预算安排规模：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项目承担单位：克孜勒苏柯尔克孜自治州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残疾人联合会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资金分配情况：用于残疾人就业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扶持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，慰问，康复，自主创业残疾人扶持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及慰问贫困残疾人16.7万元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水费3万、电费7万、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，会议费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，培训费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，政府采购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，公共安全支出等。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资金执行时间：20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年全年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群众工作经费项目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项目名称：群众工作经费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设立的政策依据：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年初预算安排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预算安排规模：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项目承担单位：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克孜勒苏柯尔克孜自治州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残疾人联合会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资金分配情况：公共安全工作经费5万元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资金执行时间：20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年全年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</w:t>
      </w:r>
      <w:r>
        <w:rPr>
          <w:rFonts w:ascii="仿宋_GB2312" w:hAnsi="宋体" w:eastAsia="仿宋_GB2312"/>
          <w:b/>
          <w:sz w:val="32"/>
          <w:szCs w:val="22"/>
        </w:rPr>
        <w:t>属于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对个人补贴的项目支出</w:t>
      </w:r>
      <w:r>
        <w:rPr>
          <w:rFonts w:hint="eastAsia" w:ascii="仿宋_GB2312" w:hAnsi="黑体" w:eastAsia="仿宋_GB2312"/>
          <w:b/>
          <w:sz w:val="32"/>
          <w:szCs w:val="32"/>
        </w:rPr>
        <w:t>按下列内容说明）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黑体" w:eastAsia="黑体"/>
          <w:kern w:val="0"/>
          <w:sz w:val="32"/>
          <w:szCs w:val="32"/>
        </w:rPr>
        <w:t>克孜勒苏柯尔克孜自治州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克孜勒苏柯尔克孜自治州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万元，公务接待费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与上年预算一致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；公务用车购置费为0，未安排预算。公务用车运行费增加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与上年预算一致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与上年预算一致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黑体" w:eastAsia="黑体"/>
          <w:kern w:val="0"/>
          <w:sz w:val="32"/>
          <w:szCs w:val="32"/>
        </w:rPr>
        <w:t>克孜勒苏柯尔克孜自治州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克孜勒苏柯尔克孜自治州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残疾人联合会2021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年，克孜勒苏柯尔克孜自治州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残疾人联合会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家行政单位和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24.97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%。主要原因是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2020年6月份调入1人，人员经费及公用经费增加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年，克孜勒苏柯尔克孜自治州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残疾人联合会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2021</w:t>
      </w:r>
      <w:r>
        <w:rPr>
          <w:rFonts w:hint="eastAsia" w:ascii="仿宋_GB2312" w:hAnsi="仿宋_GB2312" w:eastAsia="仿宋_GB2312"/>
          <w:sz w:val="32"/>
        </w:rPr>
        <w:t>年度本部门（单位）面向中小企业预留政府采购项目预算金额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年底，克孜勒苏柯尔克孜自治州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残疾人联合会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1.房屋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平方米，价值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万元；其他车辆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46.33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单位价值50万元以上大型设备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台（套），单位价值100万元以上大型设备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年部门（单位）预算未安排购置车辆经费（或安排购置车辆经费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台（套），单位价值100万元以上大型设备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年度，本年度实行绩效管理的一般公共预算项目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Style w:val="10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52"/>
        <w:gridCol w:w="1224"/>
        <w:gridCol w:w="1476"/>
        <w:gridCol w:w="1039"/>
        <w:gridCol w:w="1481"/>
        <w:gridCol w:w="11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（2021年）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克孜勒苏柯尔克孜自治州残疾人联合会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残疾人就业保障金项目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80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该项目资金用于：残疾人就业保障金主要用于支持残疾人就业和残疾人生活。包括残疾人就业培训，扶持创业，各项康复，残疾人慰问及保障单位业务正常运行的各项业务经费。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慰问困难残疾人（人）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≧</w:t>
            </w:r>
            <w:r>
              <w:rPr>
                <w:rStyle w:val="24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举办残疾人职业技能培训（人）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≧</w:t>
            </w:r>
            <w:r>
              <w:rPr>
                <w:rStyle w:val="24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开展残疾人事业宣传（批）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资金使用合规率（%)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资金拨付及时率（%）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慰问困难残疾人标准（元/人）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≤</w:t>
            </w:r>
            <w:r>
              <w:rPr>
                <w:rStyle w:val="24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培训残疾人标准（元/人）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残疾人事业宣传标准（元/批）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减轻残疾人经济负担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提高残疾人就业融入社会率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提升残疾人融入社会的生活水平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有效提升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受益残疾人满意度（%）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≧90</w:t>
            </w:r>
          </w:p>
        </w:tc>
      </w:tr>
    </w:tbl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10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52"/>
        <w:gridCol w:w="1224"/>
        <w:gridCol w:w="1476"/>
        <w:gridCol w:w="1039"/>
        <w:gridCol w:w="1481"/>
        <w:gridCol w:w="501"/>
        <w:gridCol w:w="6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（2021年）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克孜勒苏柯尔克孜自治州残疾人联合会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联建工作经费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5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8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8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该项目资金用于：全面开展群众工作、入户走访，大力宣讲十九大精神等内容、协助工作队做好扶贫工作。扎实开展民族团结“结亲周”活动。通过该项目实施，提升该村基层组织工作能力，改善村委会办公基础条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慰问困难村民户数（户）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购买办公用品及电脑耗材（批）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举办问题联谊文体活动（次）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资金使用合规率（%）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1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资金拨付及时率（%）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慰问困难村民（元/户）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问题联谊活动费用（万元）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办公费用（万元）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保障工作情况需要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提升公共服务能力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有效提升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村民满意度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≧90</w:t>
            </w:r>
          </w:p>
        </w:tc>
      </w:tr>
    </w:tbl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p>
      <w:pPr>
        <w:widowControl/>
        <w:spacing w:line="48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克孜勒苏柯尔克孜自治州残疾人联合会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无其他事项说明。</w:t>
      </w:r>
    </w:p>
    <w:p>
      <w:pPr>
        <w:widowControl/>
        <w:spacing w:before="217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217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  <w:highlight w:val="none"/>
          <w:shd w:val="clear"/>
        </w:rPr>
      </w:pPr>
      <w:r>
        <w:rPr>
          <w:rFonts w:hint="eastAsia" w:ascii="黑体" w:hAnsi="黑体" w:eastAsia="黑体"/>
          <w:sz w:val="32"/>
          <w:szCs w:val="32"/>
        </w:rPr>
        <w:t>一、财政拨款</w:t>
      </w:r>
      <w:r>
        <w:rPr>
          <w:rFonts w:hint="eastAsia" w:ascii="黑体" w:hAnsi="黑体" w:eastAsia="黑体"/>
          <w:sz w:val="32"/>
          <w:szCs w:val="32"/>
          <w:highlight w:val="none"/>
          <w:shd w:val="clear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  <w:shd w:val="clear"/>
        </w:rPr>
        <w:t>指由一般公共预算、政府性基金预算、</w:t>
      </w:r>
      <w:r>
        <w:rPr>
          <w:rFonts w:ascii="仿宋_GB2312" w:eastAsia="仿宋_GB2312"/>
          <w:sz w:val="32"/>
          <w:szCs w:val="32"/>
          <w:highlight w:val="none"/>
          <w:shd w:val="clear"/>
        </w:rPr>
        <w:t>国有资本经营预算</w:t>
      </w:r>
      <w:r>
        <w:rPr>
          <w:rFonts w:hint="eastAsia" w:ascii="仿宋_GB2312" w:eastAsia="仿宋_GB2312"/>
          <w:sz w:val="32"/>
          <w:szCs w:val="32"/>
          <w:highlight w:val="none"/>
          <w:shd w:val="clear"/>
        </w:rPr>
        <w:t>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部门（单位）支出预算的组成部分，是自治区本级部门（单位）为完成其特定的行政任务或事业发展目标，在基本支出预算之外编制的年度项目支出计划。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自治州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克孜勒苏柯尔克孜自治州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残疾人联合会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>
      <w:pPr/>
    </w:p>
    <w:p>
      <w:pPr/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2041" w:right="1276" w:bottom="2041" w:left="1276" w:header="851" w:footer="1814" w:gutter="0"/>
      <w:pgNumType w:fmt="numberInDash"/>
      <w:cols w:space="720" w:num="1"/>
      <w:docGrid w:type="lines" w:linePitch="43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Helvetica">
    <w:altName w:val="Arial"/>
    <w:panose1 w:val="020B05040202020202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decorative"/>
    <w:pitch w:val="default"/>
    <w:sig w:usb0="00000000" w:usb1="00000000" w:usb2="00000009" w:usb3="00000000" w:csb0="000001F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Helvetica">
    <w:altName w:val="Arial"/>
    <w:panose1 w:val="020B0504020202020204"/>
    <w:charset w:val="00"/>
    <w:family w:val="modern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631" w:y="37"/>
      <w:jc w:val="right"/>
      <w:rPr>
        <w:rStyle w:val="9"/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- 33 -</w:t>
    </w:r>
    <w:r>
      <w:rPr>
        <w:rFonts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</w:rPr>
      <w:t xml:space="preserve"> </w:t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756" w:y="37"/>
      <w:rPr>
        <w:rStyle w:val="9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- 34 -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12321203">
    <w:nsid w:val="601A11B3"/>
    <w:multiLevelType w:val="singleLevel"/>
    <w:tmpl w:val="601A11B3"/>
    <w:lvl w:ilvl="0" w:tentative="1">
      <w:start w:val="2"/>
      <w:numFmt w:val="chineseCounting"/>
      <w:suff w:val="nothing"/>
      <w:lvlText w:val="（%1）"/>
      <w:lvlJc w:val="left"/>
    </w:lvl>
  </w:abstractNum>
  <w:num w:numId="1">
    <w:abstractNumId w:val="16123212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BF"/>
    <w:rsid w:val="0009522A"/>
    <w:rsid w:val="00121764"/>
    <w:rsid w:val="001410DA"/>
    <w:rsid w:val="001662FE"/>
    <w:rsid w:val="00172C01"/>
    <w:rsid w:val="00186398"/>
    <w:rsid w:val="001D3009"/>
    <w:rsid w:val="002166BA"/>
    <w:rsid w:val="00324290"/>
    <w:rsid w:val="00396814"/>
    <w:rsid w:val="003B4B5F"/>
    <w:rsid w:val="003C61E3"/>
    <w:rsid w:val="00432267"/>
    <w:rsid w:val="00493EEC"/>
    <w:rsid w:val="004B5A44"/>
    <w:rsid w:val="004D2619"/>
    <w:rsid w:val="004F62F9"/>
    <w:rsid w:val="00520D5A"/>
    <w:rsid w:val="006B6A8C"/>
    <w:rsid w:val="006D5EAD"/>
    <w:rsid w:val="007219F8"/>
    <w:rsid w:val="007E2CEA"/>
    <w:rsid w:val="009035BA"/>
    <w:rsid w:val="00907796"/>
    <w:rsid w:val="0096028F"/>
    <w:rsid w:val="0099744C"/>
    <w:rsid w:val="009C6198"/>
    <w:rsid w:val="00A9706D"/>
    <w:rsid w:val="00B127E0"/>
    <w:rsid w:val="00BA582F"/>
    <w:rsid w:val="00C117E5"/>
    <w:rsid w:val="00CA4E1E"/>
    <w:rsid w:val="00DC05BF"/>
    <w:rsid w:val="00E72E1E"/>
    <w:rsid w:val="00F23808"/>
    <w:rsid w:val="00F54FE8"/>
    <w:rsid w:val="00F830A1"/>
    <w:rsid w:val="00F83503"/>
    <w:rsid w:val="00F90952"/>
    <w:rsid w:val="07894DDE"/>
    <w:rsid w:val="0ABA7BC0"/>
    <w:rsid w:val="0B97786A"/>
    <w:rsid w:val="10894865"/>
    <w:rsid w:val="10E17B34"/>
    <w:rsid w:val="121C08D1"/>
    <w:rsid w:val="147D4BE8"/>
    <w:rsid w:val="17411D57"/>
    <w:rsid w:val="1A133E8F"/>
    <w:rsid w:val="1A5B51DC"/>
    <w:rsid w:val="1ADB67D3"/>
    <w:rsid w:val="27E54934"/>
    <w:rsid w:val="2B205FCE"/>
    <w:rsid w:val="32D70BCE"/>
    <w:rsid w:val="34EE3170"/>
    <w:rsid w:val="371871D5"/>
    <w:rsid w:val="379662F0"/>
    <w:rsid w:val="398D23FB"/>
    <w:rsid w:val="43420B1F"/>
    <w:rsid w:val="4B210B4C"/>
    <w:rsid w:val="4D240339"/>
    <w:rsid w:val="4EE514F8"/>
    <w:rsid w:val="4FB35C04"/>
    <w:rsid w:val="51116E48"/>
    <w:rsid w:val="546A0079"/>
    <w:rsid w:val="63F5294F"/>
    <w:rsid w:val="65536B37"/>
    <w:rsid w:val="65FB5AF8"/>
    <w:rsid w:val="722D3064"/>
    <w:rsid w:val="7246512E"/>
    <w:rsid w:val="74C00F6E"/>
    <w:rsid w:val="75624D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5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 w:asciiTheme="minorHAnsi" w:hAnsiTheme="minorHAnsi" w:cstheme="minorBidi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link w:val="2"/>
    <w:semiHidden/>
    <w:qFormat/>
    <w:uiPriority w:val="0"/>
    <w:rPr>
      <w:sz w:val="18"/>
      <w:szCs w:val="18"/>
    </w:rPr>
  </w:style>
  <w:style w:type="character" w:customStyle="1" w:styleId="15">
    <w:name w:val="正文文本缩进 3 字符"/>
    <w:link w:val="5"/>
    <w:qFormat/>
    <w:uiPriority w:val="0"/>
    <w:rPr>
      <w:rFonts w:eastAsia="仿宋_GB2312"/>
      <w:sz w:val="32"/>
      <w:szCs w:val="24"/>
    </w:rPr>
  </w:style>
  <w:style w:type="paragraph" w:customStyle="1" w:styleId="16">
    <w:name w:val="普通(网站)2"/>
    <w:basedOn w:val="1"/>
    <w:qFormat/>
    <w:uiPriority w:val="0"/>
    <w:rPr>
      <w:rFonts w:ascii="Calibri" w:hAnsi="Calibri" w:cs="黑体"/>
      <w:sz w:val="24"/>
    </w:rPr>
  </w:style>
  <w:style w:type="character" w:customStyle="1" w:styleId="17">
    <w:name w:val="正文文本缩进 3 字符1"/>
    <w:basedOn w:val="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20">
    <w:name w:val="批注框文本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character" w:customStyle="1" w:styleId="23">
    <w:name w:val="font0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2401</Words>
  <Characters>13686</Characters>
  <Lines>114</Lines>
  <Paragraphs>32</Paragraphs>
  <TotalTime>0</TotalTime>
  <ScaleCrop>false</ScaleCrop>
  <LinksUpToDate>false</LinksUpToDate>
  <CharactersWithSpaces>16055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2021-01-27T08:28:00Z</dcterms:created>
  <dc:creator>薛理升</dc:creator>
  <cp:lastModifiedBy>Administrator</cp:lastModifiedBy>
  <dcterms:modified xsi:type="dcterms:W3CDTF">2021-02-28T05:37:51Z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