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sz w:val="32"/>
          <w:szCs w:val="32"/>
        </w:rPr>
      </w:pPr>
    </w:p>
    <w:p>
      <w:pPr>
        <w:rPr>
          <w:rFonts w:ascii="宋体" w:hAns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w:t>
      </w:r>
      <w:bookmarkEnd w:id="1"/>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克孜勒苏柯尔克孜自治州体育中心2021年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克州体育中心概况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2021年克州体育中心预算公开表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2021年克州体育中心预算情况说明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一、关于克州体育中心2021年收支预算情况的总体说明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二、关于克州体育中心2021年收入预算情况说明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三、关于克州体育中心2021年支出预算情况说明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克州体育中心2021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五、关于克州体育中心2021年一般公共预算当年拨款情况说明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六、关于克州体育中心2021年一般公共预算基本支出情况说明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七、关于克州体育中心2021年一般公共预算项目支出情况说明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八、关于克州体育中心2021年一般公共预算“三公”经费预算情况说明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九、关于克州体育中心2021年政府性基金预算拨款情况说明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ind w:firstLine="883" w:firstLineChars="200"/>
        <w:outlineLvl w:val="1"/>
        <w:rPr>
          <w:rFonts w:ascii="宋体" w:hAnsi="宋体"/>
          <w:b/>
          <w:kern w:val="0"/>
          <w:sz w:val="44"/>
          <w:szCs w:val="44"/>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克州体育中心概况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ascii="黑体" w:hAnsi="黑体" w:eastAsia="黑体" w:cs="宋体"/>
          <w:bCs/>
          <w:kern w:val="0"/>
          <w:sz w:val="32"/>
          <w:szCs w:val="32"/>
        </w:rPr>
      </w:pPr>
      <w:r>
        <w:rPr>
          <w:rFonts w:hint="eastAsia" w:ascii="仿宋_GB2312" w:hAnsi="宋体" w:eastAsia="仿宋_GB2312" w:cs="宋体"/>
          <w:kern w:val="0"/>
          <w:sz w:val="32"/>
          <w:szCs w:val="32"/>
        </w:rPr>
        <w:t>依据《体育法》规定和《公共文化体育设施条例》的规定，负责体育中心场所的开放、管理工作；负责开展群众性的健身活动，丰富广大人民群众的业余文化生活，增强体质，适应国民经济和社会发展的需要；负责承办自治区、自治州竞技体育比赛和群体活动；负责为自治州的竞技体育和群众体育代表队提供训练场地和技术服务；负责为青少年和学校体育活动提供场地和技术服务；负责完成上级部门交办的各种文化活动、展演活动等社会和其它活动；负责对体育馆、体育广场、运动场、体育公园、赛马场的管理。</w:t>
      </w:r>
    </w:p>
    <w:p>
      <w:pPr>
        <w:widowControl/>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克州体育中心无下属预算单位，下设0个科室。</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克州体育中心</w:t>
      </w:r>
      <w:r>
        <w:rPr>
          <w:rFonts w:hint="eastAsia" w:ascii="仿宋_GB2312" w:hAnsi="宋体" w:eastAsia="仿宋_GB2312" w:cs="宋体"/>
          <w:kern w:val="0"/>
          <w:sz w:val="32"/>
          <w:szCs w:val="32"/>
        </w:rPr>
        <w:t>编制数9，实有人数10人，其中：在职8人； 退休2人，减少0人；离休0人，增加或减少0人。</w:t>
      </w:r>
    </w:p>
    <w:p>
      <w:pPr>
        <w:widowControl/>
        <w:spacing w:line="560" w:lineRule="exact"/>
        <w:jc w:val="left"/>
        <w:rPr>
          <w:rFonts w:ascii="仿宋_GB2312" w:hAnsi="宋体" w:eastAsia="仿宋_GB2312" w:cs="宋体"/>
          <w:bCs/>
          <w:kern w:val="0"/>
          <w:sz w:val="32"/>
          <w:szCs w:val="32"/>
        </w:rPr>
      </w:pPr>
    </w:p>
    <w:p>
      <w:pPr>
        <w:widowControl/>
        <w:spacing w:line="560" w:lineRule="exact"/>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 xml:space="preserve"> </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  2021年体育中心预算公开表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体育中心收支总体情况表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编制部门（单位）：克州体育中心                        单位：万元</w:t>
      </w:r>
    </w:p>
    <w:tbl>
      <w:tblPr>
        <w:tblW w:w="8928" w:type="dxa"/>
        <w:tblInd w:w="0" w:type="dxa"/>
        <w:shd w:val="clear"/>
        <w:tblLayout w:type="fixed"/>
        <w:tblCellMar>
          <w:top w:w="0" w:type="dxa"/>
          <w:left w:w="0" w:type="dxa"/>
          <w:bottom w:w="0" w:type="dxa"/>
          <w:right w:w="0" w:type="dxa"/>
        </w:tblCellMar>
      </w:tblPr>
      <w:tblGrid>
        <w:gridCol w:w="3748"/>
        <w:gridCol w:w="1283"/>
        <w:gridCol w:w="3038"/>
        <w:gridCol w:w="859"/>
      </w:tblGrid>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收入</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w:t>
            </w: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功能分类</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r>
      <w:tr>
        <w:tblPrEx>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一、财政拨款（补助）</w:t>
            </w: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112.49 </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 一般公共服务支出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一般公共预算</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112.49 </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 外交支出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政府性基金预算</w:t>
            </w:r>
          </w:p>
        </w:tc>
        <w:tc>
          <w:tcPr>
            <w:tcW w:w="1283"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 国防支出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国有资本经营预算</w:t>
            </w:r>
          </w:p>
        </w:tc>
        <w:tc>
          <w:tcPr>
            <w:tcW w:w="1283"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 公共安全支出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教育收费（财政专户）</w:t>
            </w:r>
          </w:p>
        </w:tc>
        <w:tc>
          <w:tcPr>
            <w:tcW w:w="1283"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 教育支出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7"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事业收入</w:t>
            </w:r>
          </w:p>
        </w:tc>
        <w:tc>
          <w:tcPr>
            <w:tcW w:w="1283"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 科学技术支出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8"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上级补助收入</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 文化体育与传媒支出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142.49 </w:t>
            </w:r>
          </w:p>
        </w:tc>
      </w:tr>
      <w:tr>
        <w:tblPrEx>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事业单位经营收入</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 社会保障和就业支出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73"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单位其他资金收入</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209 社会保险基金支出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84"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上级专项收入</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 卫生健康支出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61"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用事业基金弥补收支差额</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 节能环保支出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84"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 城乡社区支出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15"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 农林水支出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04"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214 交通运输支出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15"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 资源勘探工业信息等支出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181"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216 商业服务业等支出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15"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217 金融支出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169"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 援助其他地区支出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22"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220 自然资源海洋气象等支出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4"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 住房保障支出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 粮油物资管理支出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7"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 国有资本经营预算支出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1"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224 灾害防治及应急管理支出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25"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227 预备费</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37"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 其他支出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14"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231 债务还本支出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225"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232 债务付息支出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6"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233 债务发行费支出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8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234 抗疫特别国债安排的支出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  年  收  入  小  计</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112.49 </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  年  支  出  小  计</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142.49 </w:t>
            </w: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单位上年结余（不包含国库集中支付额度结余）</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30.00 </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230 转移性支出</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tblLayout w:type="fixed"/>
          <w:tblCellMar>
            <w:top w:w="0" w:type="dxa"/>
            <w:left w:w="0" w:type="dxa"/>
            <w:bottom w:w="0" w:type="dxa"/>
            <w:right w:w="0" w:type="dxa"/>
          </w:tblCellMar>
        </w:tblPrEx>
        <w:trPr>
          <w:trHeight w:val="360" w:hRule="atLeast"/>
        </w:trPr>
        <w:tc>
          <w:tcPr>
            <w:tcW w:w="374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      入      总      计</w:t>
            </w:r>
          </w:p>
        </w:tc>
        <w:tc>
          <w:tcPr>
            <w:tcW w:w="12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142.49 </w:t>
            </w:r>
          </w:p>
        </w:tc>
        <w:tc>
          <w:tcPr>
            <w:tcW w:w="30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   出  总   计</w:t>
            </w:r>
          </w:p>
        </w:tc>
        <w:tc>
          <w:tcPr>
            <w:tcW w:w="85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142.49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                                              单位：万元</w:t>
      </w:r>
    </w:p>
    <w:tbl>
      <w:tblPr>
        <w:tblStyle w:val="10"/>
        <w:tblW w:w="10651" w:type="dxa"/>
        <w:tblInd w:w="-450" w:type="dxa"/>
        <w:tblLayout w:type="fixed"/>
        <w:tblCellMar>
          <w:top w:w="0" w:type="dxa"/>
          <w:left w:w="108" w:type="dxa"/>
          <w:bottom w:w="0" w:type="dxa"/>
          <w:right w:w="108" w:type="dxa"/>
        </w:tblCellMar>
      </w:tblPr>
      <w:tblGrid>
        <w:gridCol w:w="416"/>
        <w:gridCol w:w="426"/>
        <w:gridCol w:w="425"/>
        <w:gridCol w:w="1418"/>
        <w:gridCol w:w="850"/>
        <w:gridCol w:w="851"/>
        <w:gridCol w:w="595"/>
        <w:gridCol w:w="709"/>
        <w:gridCol w:w="709"/>
        <w:gridCol w:w="567"/>
        <w:gridCol w:w="567"/>
        <w:gridCol w:w="567"/>
        <w:gridCol w:w="567"/>
        <w:gridCol w:w="425"/>
        <w:gridCol w:w="709"/>
        <w:gridCol w:w="850"/>
      </w:tblGrid>
      <w:tr>
        <w:tblPrEx>
          <w:tblLayout w:type="fixed"/>
          <w:tblCellMar>
            <w:top w:w="0" w:type="dxa"/>
            <w:left w:w="108" w:type="dxa"/>
            <w:bottom w:w="0" w:type="dxa"/>
            <w:right w:w="108" w:type="dxa"/>
          </w:tblCellMar>
        </w:tblPrEx>
        <w:trPr>
          <w:trHeight w:val="2671" w:hRule="atLeast"/>
        </w:trPr>
        <w:tc>
          <w:tcPr>
            <w:tcW w:w="12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41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sz w:val="10"/>
                <w:szCs w:val="10"/>
              </w:rPr>
            </w:pPr>
            <w:r>
              <w:rPr>
                <w:rFonts w:hint="eastAsia" w:ascii="宋体" w:hAnsi="宋体"/>
                <w:color w:val="000000"/>
                <w:sz w:val="10"/>
                <w:szCs w:val="10"/>
              </w:rPr>
              <w:t>207　</w:t>
            </w:r>
          </w:p>
        </w:tc>
        <w:tc>
          <w:tcPr>
            <w:tcW w:w="426" w:type="dxa"/>
            <w:tcBorders>
              <w:top w:val="nil"/>
              <w:left w:val="nil"/>
              <w:bottom w:val="single" w:color="auto" w:sz="4" w:space="0"/>
              <w:right w:val="single" w:color="auto" w:sz="4" w:space="0"/>
            </w:tcBorders>
            <w:vAlign w:val="center"/>
          </w:tcPr>
          <w:p>
            <w:pPr>
              <w:jc w:val="right"/>
              <w:rPr>
                <w:rFonts w:hint="eastAsia" w:ascii="宋体" w:hAnsi="宋体"/>
                <w:color w:val="000000"/>
                <w:sz w:val="10"/>
                <w:szCs w:val="10"/>
              </w:rPr>
            </w:pPr>
          </w:p>
          <w:p>
            <w:pPr>
              <w:jc w:val="right"/>
              <w:rPr>
                <w:rFonts w:ascii="宋体" w:hAnsi="宋体" w:cs="宋体"/>
                <w:color w:val="000000"/>
                <w:sz w:val="10"/>
                <w:szCs w:val="10"/>
              </w:rPr>
            </w:pPr>
            <w:r>
              <w:rPr>
                <w:rFonts w:hint="eastAsia" w:ascii="宋体" w:hAnsi="宋体"/>
                <w:color w:val="000000"/>
                <w:sz w:val="10"/>
                <w:szCs w:val="10"/>
                <w:lang w:val="en-US" w:eastAsia="zh-CN"/>
              </w:rPr>
              <w:t>207</w:t>
            </w:r>
            <w:r>
              <w:rPr>
                <w:rFonts w:hint="eastAsia" w:ascii="宋体" w:hAnsi="宋体"/>
                <w:color w:val="000000"/>
                <w:sz w:val="10"/>
                <w:szCs w:val="10"/>
              </w:rPr>
              <w:t>03　</w:t>
            </w:r>
          </w:p>
        </w:tc>
        <w:tc>
          <w:tcPr>
            <w:tcW w:w="425" w:type="dxa"/>
            <w:tcBorders>
              <w:top w:val="nil"/>
              <w:left w:val="nil"/>
              <w:bottom w:val="single" w:color="auto" w:sz="4" w:space="0"/>
              <w:right w:val="single" w:color="auto" w:sz="4" w:space="0"/>
            </w:tcBorders>
            <w:vAlign w:val="center"/>
          </w:tcPr>
          <w:p>
            <w:pPr>
              <w:jc w:val="right"/>
              <w:rPr>
                <w:rFonts w:hint="eastAsia" w:ascii="宋体" w:hAnsi="宋体"/>
                <w:color w:val="000000"/>
                <w:sz w:val="10"/>
                <w:szCs w:val="10"/>
              </w:rPr>
            </w:pPr>
          </w:p>
          <w:p>
            <w:pPr>
              <w:jc w:val="right"/>
              <w:rPr>
                <w:rFonts w:hint="eastAsia" w:ascii="宋体" w:hAnsi="宋体"/>
                <w:color w:val="000000"/>
                <w:sz w:val="10"/>
                <w:szCs w:val="10"/>
              </w:rPr>
            </w:pPr>
          </w:p>
          <w:p>
            <w:pPr>
              <w:jc w:val="right"/>
              <w:rPr>
                <w:rFonts w:ascii="宋体" w:hAnsi="宋体" w:cs="宋体"/>
                <w:color w:val="000000"/>
                <w:sz w:val="10"/>
                <w:szCs w:val="10"/>
              </w:rPr>
            </w:pPr>
            <w:r>
              <w:rPr>
                <w:rFonts w:hint="eastAsia" w:ascii="宋体" w:hAnsi="宋体"/>
                <w:color w:val="000000"/>
                <w:sz w:val="10"/>
                <w:szCs w:val="10"/>
                <w:lang w:val="en-US" w:eastAsia="zh-CN"/>
              </w:rPr>
              <w:t>20703</w:t>
            </w:r>
            <w:r>
              <w:rPr>
                <w:rFonts w:hint="eastAsia" w:ascii="宋体" w:hAnsi="宋体"/>
                <w:color w:val="000000"/>
                <w:sz w:val="10"/>
                <w:szCs w:val="10"/>
              </w:rPr>
              <w:t>99　</w:t>
            </w:r>
          </w:p>
        </w:tc>
        <w:tc>
          <w:tcPr>
            <w:tcW w:w="1418"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ascii="宋体" w:hAnsi="宋体"/>
                <w:color w:val="000000"/>
                <w:sz w:val="20"/>
                <w:szCs w:val="20"/>
              </w:rPr>
              <w:t>其他体育支出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10.00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10.00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sz w:val="10"/>
                <w:szCs w:val="10"/>
              </w:rPr>
            </w:pPr>
            <w:r>
              <w:rPr>
                <w:rFonts w:hint="eastAsia" w:ascii="宋体" w:hAnsi="宋体"/>
                <w:color w:val="000000"/>
                <w:sz w:val="10"/>
                <w:szCs w:val="10"/>
              </w:rPr>
              <w:t>207　</w:t>
            </w:r>
          </w:p>
        </w:tc>
        <w:tc>
          <w:tcPr>
            <w:tcW w:w="426" w:type="dxa"/>
            <w:tcBorders>
              <w:top w:val="nil"/>
              <w:left w:val="nil"/>
              <w:bottom w:val="single" w:color="auto" w:sz="4" w:space="0"/>
              <w:right w:val="single" w:color="auto" w:sz="4" w:space="0"/>
            </w:tcBorders>
            <w:vAlign w:val="center"/>
          </w:tcPr>
          <w:p>
            <w:pPr>
              <w:jc w:val="right"/>
              <w:rPr>
                <w:rFonts w:hint="eastAsia" w:ascii="宋体" w:hAnsi="宋体"/>
                <w:color w:val="000000"/>
                <w:sz w:val="10"/>
                <w:szCs w:val="10"/>
              </w:rPr>
            </w:pPr>
          </w:p>
          <w:p>
            <w:pPr>
              <w:jc w:val="right"/>
              <w:rPr>
                <w:rFonts w:ascii="宋体" w:hAnsi="宋体" w:cs="宋体"/>
                <w:color w:val="000000"/>
                <w:sz w:val="10"/>
                <w:szCs w:val="10"/>
              </w:rPr>
            </w:pPr>
            <w:r>
              <w:rPr>
                <w:rFonts w:hint="eastAsia" w:ascii="宋体" w:hAnsi="宋体"/>
                <w:color w:val="000000"/>
                <w:sz w:val="10"/>
                <w:szCs w:val="10"/>
                <w:lang w:val="en-US" w:eastAsia="zh-CN"/>
              </w:rPr>
              <w:t>207</w:t>
            </w:r>
            <w:r>
              <w:rPr>
                <w:rFonts w:hint="eastAsia" w:ascii="宋体" w:hAnsi="宋体"/>
                <w:color w:val="000000"/>
                <w:sz w:val="10"/>
                <w:szCs w:val="10"/>
              </w:rPr>
              <w:t>03　</w:t>
            </w:r>
          </w:p>
        </w:tc>
        <w:tc>
          <w:tcPr>
            <w:tcW w:w="425" w:type="dxa"/>
            <w:tcBorders>
              <w:top w:val="nil"/>
              <w:left w:val="nil"/>
              <w:bottom w:val="single" w:color="auto" w:sz="4" w:space="0"/>
              <w:right w:val="single" w:color="auto" w:sz="4" w:space="0"/>
            </w:tcBorders>
            <w:vAlign w:val="center"/>
          </w:tcPr>
          <w:p>
            <w:pPr>
              <w:jc w:val="right"/>
              <w:rPr>
                <w:rFonts w:hint="eastAsia" w:ascii="宋体" w:hAnsi="宋体"/>
                <w:color w:val="000000"/>
                <w:sz w:val="10"/>
                <w:szCs w:val="10"/>
              </w:rPr>
            </w:pPr>
          </w:p>
          <w:p>
            <w:pPr>
              <w:jc w:val="right"/>
              <w:rPr>
                <w:rFonts w:hint="eastAsia" w:ascii="宋体" w:hAnsi="宋体"/>
                <w:color w:val="000000"/>
                <w:sz w:val="10"/>
                <w:szCs w:val="10"/>
              </w:rPr>
            </w:pPr>
          </w:p>
          <w:p>
            <w:pPr>
              <w:jc w:val="right"/>
              <w:rPr>
                <w:rFonts w:ascii="宋体" w:hAnsi="宋体" w:cs="宋体"/>
                <w:color w:val="000000"/>
                <w:sz w:val="10"/>
                <w:szCs w:val="10"/>
              </w:rPr>
            </w:pPr>
            <w:r>
              <w:rPr>
                <w:rFonts w:hint="eastAsia" w:ascii="宋体" w:hAnsi="宋体"/>
                <w:color w:val="000000"/>
                <w:sz w:val="10"/>
                <w:szCs w:val="10"/>
                <w:lang w:val="en-US" w:eastAsia="zh-CN"/>
              </w:rPr>
              <w:t>20703</w:t>
            </w:r>
            <w:r>
              <w:rPr>
                <w:rFonts w:hint="eastAsia" w:ascii="宋体" w:hAnsi="宋体"/>
                <w:color w:val="000000"/>
                <w:sz w:val="10"/>
                <w:szCs w:val="10"/>
              </w:rPr>
              <w:t>04　</w:t>
            </w:r>
          </w:p>
        </w:tc>
        <w:tc>
          <w:tcPr>
            <w:tcW w:w="1418"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ascii="宋体" w:hAnsi="宋体"/>
                <w:color w:val="000000"/>
                <w:sz w:val="20"/>
                <w:szCs w:val="20"/>
              </w:rPr>
              <w:t>运动项目管理</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132.49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102.49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30.00</w:t>
            </w: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4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1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142.49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112.49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30.00</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体育中心支出总体情况表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编制部门（单位）：克州体育中心                             单位：万元</w:t>
      </w:r>
    </w:p>
    <w:tbl>
      <w:tblPr>
        <w:tblStyle w:val="10"/>
        <w:tblW w:w="9420" w:type="dxa"/>
        <w:tblInd w:w="-240" w:type="dxa"/>
        <w:tblLayout w:type="fixed"/>
        <w:tblCellMar>
          <w:top w:w="0" w:type="dxa"/>
          <w:left w:w="108" w:type="dxa"/>
          <w:bottom w:w="0" w:type="dxa"/>
          <w:right w:w="108" w:type="dxa"/>
        </w:tblCellMar>
      </w:tblPr>
      <w:tblGrid>
        <w:gridCol w:w="409"/>
        <w:gridCol w:w="392"/>
        <w:gridCol w:w="543"/>
        <w:gridCol w:w="2461"/>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6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6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rPr>
              <w:t>207</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lang w:val="en-US" w:eastAsia="zh-CN"/>
              </w:rPr>
              <w:t>207</w:t>
            </w:r>
            <w:r>
              <w:rPr>
                <w:rFonts w:hint="eastAsia" w:ascii="宋体" w:hAnsi="宋体" w:cs="宋体"/>
                <w:bCs/>
                <w:color w:val="000000"/>
                <w:kern w:val="0"/>
                <w:sz w:val="11"/>
                <w:szCs w:val="11"/>
              </w:rPr>
              <w:t>03</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lang w:val="en-US" w:eastAsia="zh-CN"/>
              </w:rPr>
              <w:t>20703</w:t>
            </w:r>
            <w:r>
              <w:rPr>
                <w:rFonts w:hint="eastAsia" w:ascii="宋体" w:hAnsi="宋体" w:cs="宋体"/>
                <w:bCs/>
                <w:color w:val="000000"/>
                <w:kern w:val="0"/>
                <w:sz w:val="11"/>
                <w:szCs w:val="11"/>
              </w:rPr>
              <w:t>99</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其他体育支出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10.00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10.00</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rPr>
              <w:t>207</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lang w:val="en-US" w:eastAsia="zh-CN"/>
              </w:rPr>
              <w:t>207</w:t>
            </w:r>
            <w:r>
              <w:rPr>
                <w:rFonts w:hint="eastAsia" w:ascii="宋体" w:hAnsi="宋体" w:cs="宋体"/>
                <w:bCs/>
                <w:color w:val="000000"/>
                <w:kern w:val="0"/>
                <w:sz w:val="11"/>
                <w:szCs w:val="11"/>
              </w:rPr>
              <w:t>03</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hint="eastAsia" w:ascii="宋体" w:hAnsi="宋体" w:cs="宋体"/>
                <w:bCs/>
                <w:color w:val="000000"/>
                <w:kern w:val="0"/>
                <w:sz w:val="11"/>
                <w:szCs w:val="11"/>
              </w:rPr>
            </w:pPr>
          </w:p>
          <w:p>
            <w:pPr>
              <w:widowControl/>
              <w:spacing w:line="280" w:lineRule="exact"/>
              <w:jc w:val="center"/>
              <w:rPr>
                <w:rFonts w:ascii="宋体" w:hAnsi="宋体" w:cs="宋体"/>
                <w:bCs/>
                <w:color w:val="000000"/>
                <w:kern w:val="0"/>
                <w:sz w:val="11"/>
                <w:szCs w:val="11"/>
              </w:rPr>
            </w:pPr>
            <w:r>
              <w:rPr>
                <w:rFonts w:hint="eastAsia" w:ascii="宋体" w:hAnsi="宋体" w:cs="宋体"/>
                <w:bCs/>
                <w:color w:val="000000"/>
                <w:kern w:val="0"/>
                <w:sz w:val="11"/>
                <w:szCs w:val="11"/>
                <w:lang w:val="en-US" w:eastAsia="zh-CN"/>
              </w:rPr>
              <w:t>20703</w:t>
            </w:r>
            <w:r>
              <w:rPr>
                <w:rFonts w:hint="eastAsia" w:ascii="宋体" w:hAnsi="宋体" w:cs="宋体"/>
                <w:bCs/>
                <w:color w:val="000000"/>
                <w:kern w:val="0"/>
                <w:sz w:val="11"/>
                <w:szCs w:val="11"/>
              </w:rPr>
              <w:t>04</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运动项目管理</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132.49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132.49</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405"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Layout w:type="fixed"/>
          <w:tblCellMar>
            <w:top w:w="0" w:type="dxa"/>
            <w:left w:w="108" w:type="dxa"/>
            <w:bottom w:w="0" w:type="dxa"/>
            <w:right w:w="108" w:type="dxa"/>
          </w:tblCellMar>
        </w:tblPrEx>
        <w:trPr>
          <w:trHeight w:val="579" w:hRule="atLeast"/>
        </w:trPr>
        <w:tc>
          <w:tcPr>
            <w:tcW w:w="40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4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6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r>
              <w:rPr>
                <w:rFonts w:hint="eastAsia" w:ascii="宋体" w:hAnsi="宋体" w:cs="宋体"/>
                <w:bCs/>
                <w:color w:val="000000"/>
                <w:kern w:val="0"/>
                <w:sz w:val="20"/>
                <w:szCs w:val="20"/>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142.49</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132.49</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0"/>
                <w:szCs w:val="20"/>
              </w:rPr>
            </w:pPr>
            <w:r>
              <w:rPr>
                <w:rFonts w:hint="eastAsia" w:ascii="宋体" w:hAnsi="宋体" w:cs="宋体"/>
                <w:color w:val="000000"/>
                <w:kern w:val="0"/>
                <w:sz w:val="20"/>
                <w:szCs w:val="20"/>
              </w:rPr>
              <w:t>　10.00</w:t>
            </w:r>
          </w:p>
        </w:tc>
      </w:tr>
    </w:tbl>
    <w:p>
      <w:pPr>
        <w:widowControl/>
        <w:outlineLvl w:val="1"/>
        <w:rPr>
          <w:rFonts w:ascii="仿宋_GB2312" w:hAnsi="宋体" w:eastAsia="仿宋_GB2312"/>
          <w:b/>
          <w:kern w:val="0"/>
          <w:sz w:val="28"/>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112.49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112.49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20"/>
                <w:szCs w:val="20"/>
              </w:rPr>
            </w:pPr>
            <w:r>
              <w:rPr>
                <w:rFonts w:hint="eastAsia" w:ascii="宋体" w:hAnsi="宋体" w:cs="宋体"/>
                <w:kern w:val="0"/>
                <w:sz w:val="20"/>
                <w:szCs w:val="20"/>
              </w:rPr>
              <w:t>112.49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20"/>
                <w:szCs w:val="20"/>
              </w:rPr>
            </w:pPr>
            <w:r>
              <w:rPr>
                <w:rFonts w:hint="eastAsia" w:ascii="宋体" w:hAnsi="宋体" w:cs="宋体"/>
                <w:kern w:val="0"/>
                <w:sz w:val="20"/>
                <w:szCs w:val="20"/>
              </w:rPr>
              <w:t>112.49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0"/>
                <w:szCs w:val="20"/>
              </w:rPr>
              <w:t>112.49</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仿宋_GB2312" w:hAnsi="宋体" w:eastAsia="仿宋_GB2312" w:cs="宋体"/>
                <w:color w:val="000000"/>
                <w:kern w:val="0"/>
                <w:sz w:val="20"/>
                <w:szCs w:val="20"/>
              </w:rPr>
              <w:t>112.49</w:t>
            </w: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仿宋_GB2312" w:hAnsi="宋体" w:eastAsia="仿宋_GB2312" w:cs="宋体"/>
                <w:color w:val="000000"/>
                <w:kern w:val="0"/>
                <w:sz w:val="20"/>
                <w:szCs w:val="20"/>
              </w:rPr>
              <w:t>112.49</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653"/>
        <w:gridCol w:w="554"/>
        <w:gridCol w:w="715"/>
        <w:gridCol w:w="2065"/>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编制部门（单位）：克州体育中心</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92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06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5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7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06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r>
              <w:rPr>
                <w:rFonts w:hint="eastAsia" w:ascii="宋体" w:hAnsi="宋体" w:cs="宋体"/>
                <w:color w:val="000000"/>
                <w:kern w:val="0"/>
                <w:sz w:val="18"/>
                <w:szCs w:val="18"/>
              </w:rPr>
              <w:t>207</w:t>
            </w:r>
          </w:p>
        </w:tc>
        <w:tc>
          <w:tcPr>
            <w:tcW w:w="554"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18"/>
                <w:szCs w:val="18"/>
              </w:rPr>
            </w:pPr>
            <w:r>
              <w:rPr>
                <w:rFonts w:hint="eastAsia" w:ascii="宋体" w:hAnsi="宋体" w:cs="宋体"/>
                <w:color w:val="000000"/>
                <w:kern w:val="0"/>
                <w:sz w:val="18"/>
                <w:szCs w:val="18"/>
                <w:lang w:val="en-US" w:eastAsia="zh-CN"/>
              </w:rPr>
              <w:t>207</w:t>
            </w:r>
            <w:r>
              <w:rPr>
                <w:rFonts w:hint="eastAsia" w:ascii="宋体" w:hAnsi="宋体" w:cs="宋体"/>
                <w:color w:val="000000"/>
                <w:kern w:val="0"/>
                <w:sz w:val="18"/>
                <w:szCs w:val="18"/>
              </w:rPr>
              <w:t>03</w:t>
            </w:r>
          </w:p>
        </w:tc>
        <w:tc>
          <w:tcPr>
            <w:tcW w:w="715"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18"/>
                <w:szCs w:val="18"/>
              </w:rPr>
            </w:pPr>
            <w:r>
              <w:rPr>
                <w:rFonts w:hint="eastAsia" w:ascii="宋体" w:hAnsi="宋体" w:cs="宋体"/>
                <w:color w:val="000000"/>
                <w:kern w:val="0"/>
                <w:sz w:val="18"/>
                <w:szCs w:val="18"/>
                <w:lang w:val="en-US" w:eastAsia="zh-CN"/>
              </w:rPr>
              <w:t>20703</w:t>
            </w:r>
            <w:r>
              <w:rPr>
                <w:rFonts w:hint="eastAsia" w:ascii="宋体" w:hAnsi="宋体" w:cs="宋体"/>
                <w:color w:val="000000"/>
                <w:kern w:val="0"/>
                <w:sz w:val="18"/>
                <w:szCs w:val="18"/>
              </w:rPr>
              <w:t>04</w:t>
            </w:r>
          </w:p>
        </w:tc>
        <w:tc>
          <w:tcPr>
            <w:tcW w:w="20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运动项目管理</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102.49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102.49</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rPr>
              <w:t>207</w:t>
            </w:r>
          </w:p>
        </w:tc>
        <w:tc>
          <w:tcPr>
            <w:tcW w:w="554"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207</w:t>
            </w:r>
            <w:r>
              <w:rPr>
                <w:rFonts w:hint="eastAsia" w:ascii="宋体" w:hAnsi="宋体" w:cs="宋体"/>
                <w:color w:val="000000"/>
                <w:kern w:val="0"/>
                <w:sz w:val="20"/>
                <w:szCs w:val="20"/>
              </w:rPr>
              <w:t>03</w:t>
            </w:r>
          </w:p>
        </w:tc>
        <w:tc>
          <w:tcPr>
            <w:tcW w:w="715"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20703</w:t>
            </w:r>
            <w:r>
              <w:rPr>
                <w:rFonts w:hint="eastAsia" w:ascii="宋体" w:hAnsi="宋体" w:cs="宋体"/>
                <w:color w:val="000000"/>
                <w:kern w:val="0"/>
                <w:sz w:val="20"/>
                <w:szCs w:val="20"/>
              </w:rPr>
              <w:t>99</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其他体育支出</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10.00</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10.00</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6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5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112.49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102.49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编制部门（单位）：克州体育中心</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基本工资</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24.07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24.07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33.62</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33.62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奖金</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8.47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8.47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其他社会保障缴费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4.14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4.14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住房公积金</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6.11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6.11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99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5.76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取暖费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15.00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0.36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0.36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福利费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0.64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0.64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99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退休费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1.42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1.42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102.49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86.49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16.00</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602"/>
        <w:gridCol w:w="425"/>
        <w:gridCol w:w="426"/>
        <w:gridCol w:w="850"/>
        <w:gridCol w:w="1187"/>
        <w:gridCol w:w="750"/>
        <w:gridCol w:w="110"/>
        <w:gridCol w:w="459"/>
        <w:gridCol w:w="754"/>
        <w:gridCol w:w="434"/>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p>
        </w:tc>
        <w:tc>
          <w:tcPr>
            <w:tcW w:w="1213"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464"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6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87"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3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10"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18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4"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34"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610" w:type="dxa"/>
            <w:gridSpan w:val="2"/>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207　</w:t>
            </w:r>
          </w:p>
        </w:tc>
        <w:tc>
          <w:tcPr>
            <w:tcW w:w="425"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207</w:t>
            </w:r>
            <w:r>
              <w:rPr>
                <w:rFonts w:hint="eastAsia" w:ascii="仿宋_GB2312" w:hAnsi="宋体" w:eastAsia="仿宋_GB2312"/>
                <w:kern w:val="0"/>
                <w:sz w:val="20"/>
                <w:szCs w:val="20"/>
              </w:rPr>
              <w:t>03　</w:t>
            </w:r>
          </w:p>
        </w:tc>
        <w:tc>
          <w:tcPr>
            <w:tcW w:w="426" w:type="dxa"/>
          </w:tcPr>
          <w:p>
            <w:pPr>
              <w:widowControl/>
              <w:jc w:val="left"/>
              <w:outlineLvl w:val="1"/>
              <w:rPr>
                <w:rFonts w:ascii="仿宋_GB2312" w:hAnsi="宋体" w:eastAsia="仿宋_GB2312"/>
                <w:kern w:val="0"/>
                <w:sz w:val="20"/>
                <w:szCs w:val="20"/>
              </w:rPr>
            </w:pPr>
            <w:r>
              <w:rPr>
                <w:rFonts w:hint="eastAsia" w:ascii="仿宋_GB2312" w:hAnsi="宋体" w:eastAsia="仿宋_GB2312"/>
                <w:sz w:val="20"/>
                <w:szCs w:val="20"/>
                <w:lang w:val="en-US" w:eastAsia="zh-CN"/>
              </w:rPr>
              <w:t>20703</w:t>
            </w:r>
            <w:r>
              <w:rPr>
                <w:rFonts w:hint="eastAsia" w:ascii="仿宋_GB2312" w:hAnsi="宋体" w:eastAsia="仿宋_GB2312"/>
                <w:sz w:val="20"/>
                <w:szCs w:val="20"/>
              </w:rPr>
              <w:t>99</w:t>
            </w:r>
          </w:p>
        </w:tc>
        <w:tc>
          <w:tcPr>
            <w:tcW w:w="850" w:type="dxa"/>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其他体育支出</w:t>
            </w:r>
          </w:p>
        </w:tc>
        <w:tc>
          <w:tcPr>
            <w:tcW w:w="1187"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场馆运行经费</w:t>
            </w:r>
          </w:p>
        </w:tc>
        <w:tc>
          <w:tcPr>
            <w:tcW w:w="750"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w:t>
            </w:r>
          </w:p>
        </w:tc>
        <w:tc>
          <w:tcPr>
            <w:tcW w:w="569" w:type="dxa"/>
            <w:gridSpan w:val="2"/>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4"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w:t>
            </w:r>
          </w:p>
        </w:tc>
        <w:tc>
          <w:tcPr>
            <w:tcW w:w="434"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7"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10.00</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10.00</w:t>
            </w:r>
          </w:p>
        </w:tc>
        <w:tc>
          <w:tcPr>
            <w:tcW w:w="43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编制部门（单位）：克州体育中心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备注：2020年体育中心没有三公经费为空表。</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编制部门（单位）：克州体育中心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备注：2020年体育中心没有政府性基金为空表。</w:t>
      </w:r>
      <w:r>
        <w:rPr>
          <w:rFonts w:ascii="仿宋_GB2312" w:hAnsi="宋体" w:eastAsia="仿宋_GB2312"/>
          <w:b/>
          <w:kern w:val="0"/>
          <w:sz w:val="28"/>
          <w:szCs w:val="32"/>
        </w:rPr>
        <w:t xml:space="preserve"> </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2021年克州体育中心预算情况说明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关于克州体育中心2021年收支预算情况的总体说明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按照全口径预算的原则，克州体育中心2021年所有收入和支出均纳入部门预算管理。收支总预算142.49万元。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收入预算包括：一般公共预算112.49万元、单位上年结余（不包括国库集中支付额度结余）30万元等。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支出预算包括：文化旅游体育与传媒支出142.49万元。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二、关于克州体育中心2021年收入预算情况说明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克州体育中心收入预算 142.49万元，其中：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一般公共预算112.49 万元，占78.94%，上年预算增加0.73 万元，主要原因是人员调资 </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 xml:space="preserve">上年结余30万元，占21.05%，上年预算增加0.12万元，主要原因是没有开展业务。 </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rPr>
          <w:rFonts w:ascii="黑体" w:hAnsi="宋体" w:eastAsia="黑体" w:cs="宋体"/>
          <w:kern w:val="0"/>
          <w:sz w:val="32"/>
          <w:szCs w:val="32"/>
        </w:rPr>
      </w:pPr>
      <w:r>
        <w:rPr>
          <w:rFonts w:hint="eastAsia" w:ascii="仿宋_GB2312" w:hAnsi="宋体" w:eastAsia="仿宋_GB2312" w:cs="宋体"/>
          <w:kern w:val="0"/>
          <w:sz w:val="32"/>
          <w:szCs w:val="32"/>
        </w:rPr>
        <w:t xml:space="preserve">    </w:t>
      </w:r>
      <w:r>
        <w:rPr>
          <w:rFonts w:hint="eastAsia" w:ascii="黑体" w:hAnsi="宋体" w:eastAsia="黑体" w:cs="宋体"/>
          <w:kern w:val="0"/>
          <w:sz w:val="32"/>
          <w:szCs w:val="32"/>
        </w:rPr>
        <w:t>三、关于克州体育中心2021年支出预算情况说明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克州体育中心2021年支出预算142.49万元，其中：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基本支出132.49万元，占92.98 %，比上年预算增加</w:t>
      </w:r>
      <w:r>
        <w:rPr>
          <w:rFonts w:hint="eastAsia" w:ascii="仿宋_GB2312" w:hAnsi="宋体" w:eastAsia="仿宋_GB2312" w:cs="宋体"/>
          <w:kern w:val="0"/>
          <w:sz w:val="32"/>
          <w:szCs w:val="32"/>
          <w:lang w:val="en-US" w:eastAsia="zh-CN"/>
        </w:rPr>
        <w:t>0.73</w:t>
      </w:r>
      <w:r>
        <w:rPr>
          <w:rFonts w:hint="eastAsia" w:ascii="仿宋_GB2312" w:hAnsi="宋体" w:eastAsia="仿宋_GB2312" w:cs="宋体"/>
          <w:kern w:val="0"/>
          <w:sz w:val="32"/>
          <w:szCs w:val="32"/>
        </w:rPr>
        <w:t>万元，主要原因是人员调资。</w:t>
      </w:r>
    </w:p>
    <w:p>
      <w:pPr>
        <w:spacing w:line="56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项目支出10万元，占</w:t>
      </w:r>
      <w:r>
        <w:rPr>
          <w:rFonts w:hint="eastAsia" w:ascii="仿宋_GB2312" w:hAnsi="宋体" w:eastAsia="仿宋_GB2312" w:cs="宋体"/>
          <w:kern w:val="0"/>
          <w:sz w:val="32"/>
          <w:szCs w:val="32"/>
          <w:lang w:val="en-US" w:eastAsia="zh-CN"/>
        </w:rPr>
        <w:t>7.01</w:t>
      </w:r>
      <w:r>
        <w:rPr>
          <w:rFonts w:hint="eastAsia" w:ascii="仿宋_GB2312" w:hAnsi="宋体" w:eastAsia="仿宋_GB2312" w:cs="宋体"/>
          <w:kern w:val="0"/>
          <w:sz w:val="32"/>
          <w:szCs w:val="32"/>
        </w:rPr>
        <w:t>%，比上年预算增加0万元，主要原因是项目没变化。</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四、关于克州体育中心2021年财政拨款收支预算情况的总体说明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 142.49 万元。</w:t>
      </w:r>
    </w:p>
    <w:p>
      <w:pPr>
        <w:spacing w:line="560" w:lineRule="exact"/>
        <w:ind w:firstLine="462" w:firstLineChars="15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w:t>
      </w:r>
      <w:r>
        <w:rPr>
          <w:rFonts w:hint="eastAsia" w:ascii="仿宋_GB2312" w:hAnsi="宋体" w:eastAsia="仿宋_GB2312" w:cs="宋体"/>
          <w:spacing w:val="-6"/>
          <w:kern w:val="0"/>
          <w:sz w:val="32"/>
          <w:szCs w:val="32"/>
        </w:rPr>
        <w:t>112.49万元</w:t>
      </w:r>
      <w:r>
        <w:rPr>
          <w:rFonts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w:t>
      </w:r>
      <w:r>
        <w:rPr>
          <w:rFonts w:ascii="仿宋_GB2312" w:hAnsi="宋体" w:eastAsia="仿宋_GB2312" w:cs="宋体"/>
          <w:spacing w:val="-6"/>
          <w:kern w:val="0"/>
          <w:sz w:val="32"/>
          <w:szCs w:val="32"/>
        </w:rPr>
        <w:t>公共预算支出包括</w:t>
      </w:r>
      <w:r>
        <w:rPr>
          <w:rFonts w:hint="eastAsia" w:ascii="仿宋_GB2312" w:hAnsi="宋体" w:eastAsia="仿宋_GB2312" w:cs="宋体"/>
          <w:kern w:val="0"/>
          <w:sz w:val="32"/>
          <w:szCs w:val="32"/>
        </w:rPr>
        <w:t>：一般公共服务支出112.49万元，主要用于支付职工工资、津补贴、社会保障缴费、住房公积金及公用经费、群众工作补助经费等。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五、关于克州体育中心2021年一般公共预算当年拨款情况说明</w:t>
      </w:r>
    </w:p>
    <w:p>
      <w:pPr>
        <w:spacing w:line="560" w:lineRule="exact"/>
        <w:ind w:firstLine="482" w:firstLineChars="15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克州体育中心2021年一般公共预算拨款合计102.49 万元，比上年预算增加0.73万元，增长0.71 %。主要原因是：人员调资。</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支出 10万元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预算增加</w:t>
      </w:r>
      <w:r>
        <w:rPr>
          <w:rFonts w:hint="eastAsia" w:ascii="仿宋_GB2312" w:hAnsi="宋体" w:eastAsia="仿宋_GB2312" w:cs="宋体"/>
          <w:kern w:val="0"/>
          <w:sz w:val="32"/>
          <w:szCs w:val="32"/>
        </w:rPr>
        <w:t>0 万元</w:t>
      </w:r>
      <w:r>
        <w:rPr>
          <w:rFonts w:ascii="仿宋_GB2312" w:hAnsi="宋体" w:eastAsia="仿宋_GB2312" w:cs="宋体"/>
          <w:kern w:val="0"/>
          <w:sz w:val="32"/>
          <w:szCs w:val="32"/>
        </w:rPr>
        <w:t>，增长</w:t>
      </w:r>
      <w:r>
        <w:rPr>
          <w:rFonts w:hint="eastAsia" w:ascii="仿宋_GB2312" w:hAnsi="宋体" w:eastAsia="仿宋_GB2312" w:cs="宋体"/>
          <w:kern w:val="0"/>
          <w:sz w:val="32"/>
          <w:szCs w:val="32"/>
        </w:rPr>
        <w:t xml:space="preserve">0.14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2"/>
          <w:szCs w:val="32"/>
        </w:rPr>
        <w:t>项目没增加 。</w:t>
      </w:r>
    </w:p>
    <w:p>
      <w:pPr>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ascii="仿宋_GB2312" w:hAnsi="宋体" w:eastAsia="仿宋_GB2312" w:cs="宋体"/>
          <w:kern w:val="0"/>
          <w:sz w:val="32"/>
          <w:szCs w:val="32"/>
        </w:rPr>
        <w:t xml:space="preserve"> </w:t>
      </w:r>
      <w:r>
        <w:rPr>
          <w:rFonts w:hint="eastAsia" w:ascii="仿宋_GB2312" w:eastAsia="仿宋_GB2312"/>
          <w:sz w:val="32"/>
          <w:szCs w:val="32"/>
        </w:rPr>
        <w:t>文化体育和传媒（类）112.49</w:t>
      </w:r>
      <w:r>
        <w:rPr>
          <w:rFonts w:hint="eastAsia" w:ascii="仿宋_GB2312" w:hAnsi="宋体" w:eastAsia="仿宋_GB2312" w:cs="宋体"/>
          <w:kern w:val="0"/>
          <w:sz w:val="32"/>
          <w:szCs w:val="32"/>
        </w:rPr>
        <w:t>万元，占100%。</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运动项目管理事业运行对应的基本支出102.49万元是指人员经费支出和公用经费支出，占比91.11%；项目支出10万元是指体育中心运行经费，占比8.95%。</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 文化体育和传媒</w:t>
      </w:r>
      <w:r>
        <w:rPr>
          <w:rFonts w:ascii="仿宋_GB2312" w:hAnsi="宋体" w:eastAsia="仿宋_GB2312" w:cs="宋体"/>
          <w:kern w:val="0"/>
          <w:sz w:val="32"/>
          <w:szCs w:val="32"/>
        </w:rPr>
        <w:t>（</w:t>
      </w:r>
      <w:r>
        <w:rPr>
          <w:rFonts w:hint="eastAsia" w:ascii="仿宋_GB2312" w:hAnsi="宋体" w:eastAsia="仿宋_GB2312" w:cs="宋体"/>
          <w:kern w:val="0"/>
          <w:sz w:val="32"/>
          <w:szCs w:val="32"/>
        </w:rPr>
        <w:t>类：207</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体育</w:t>
      </w:r>
      <w:r>
        <w:rPr>
          <w:rFonts w:ascii="仿宋_GB2312" w:hAnsi="宋体" w:eastAsia="仿宋_GB2312" w:cs="宋体"/>
          <w:kern w:val="0"/>
          <w:sz w:val="32"/>
          <w:szCs w:val="32"/>
        </w:rPr>
        <w:t>（</w:t>
      </w:r>
      <w:r>
        <w:rPr>
          <w:rFonts w:hint="eastAsia" w:ascii="仿宋_GB2312" w:hAnsi="宋体" w:eastAsia="仿宋_GB2312" w:cs="宋体"/>
          <w:kern w:val="0"/>
          <w:sz w:val="32"/>
          <w:szCs w:val="32"/>
        </w:rPr>
        <w:t>款：03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运动项目管理</w:t>
      </w:r>
      <w:r>
        <w:rPr>
          <w:rFonts w:ascii="仿宋_GB2312" w:hAnsi="宋体" w:eastAsia="仿宋_GB2312" w:cs="宋体"/>
          <w:kern w:val="0"/>
          <w:sz w:val="32"/>
          <w:szCs w:val="32"/>
        </w:rPr>
        <w:t>（</w:t>
      </w:r>
      <w:r>
        <w:rPr>
          <w:rFonts w:hint="eastAsia" w:ascii="仿宋_GB2312" w:hAnsi="宋体" w:eastAsia="仿宋_GB2312" w:cs="宋体"/>
          <w:kern w:val="0"/>
          <w:sz w:val="32"/>
          <w:szCs w:val="32"/>
        </w:rPr>
        <w:t>项：04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lang w:val="en-US" w:eastAsia="zh-CN"/>
        </w:rPr>
        <w:t>102.49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比上年预算增加0.73万元，增长0.06 %，主要原因是：人员调资</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仿宋_GB2312" w:eastAsia="仿宋_GB2312"/>
          <w:sz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文化体育和传媒</w:t>
      </w:r>
      <w:r>
        <w:rPr>
          <w:rFonts w:ascii="仿宋_GB2312" w:hAnsi="宋体" w:eastAsia="仿宋_GB2312" w:cs="宋体"/>
          <w:kern w:val="0"/>
          <w:sz w:val="32"/>
          <w:szCs w:val="32"/>
        </w:rPr>
        <w:t>（</w:t>
      </w:r>
      <w:r>
        <w:rPr>
          <w:rFonts w:hint="eastAsia" w:ascii="仿宋_GB2312" w:hAnsi="宋体" w:eastAsia="仿宋_GB2312" w:cs="宋体"/>
          <w:kern w:val="0"/>
          <w:sz w:val="32"/>
          <w:szCs w:val="32"/>
        </w:rPr>
        <w:t>类：207</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体育</w:t>
      </w:r>
      <w:r>
        <w:rPr>
          <w:rFonts w:ascii="仿宋_GB2312" w:hAnsi="宋体" w:eastAsia="仿宋_GB2312" w:cs="宋体"/>
          <w:kern w:val="0"/>
          <w:sz w:val="32"/>
          <w:szCs w:val="32"/>
        </w:rPr>
        <w:t>（</w:t>
      </w:r>
      <w:r>
        <w:rPr>
          <w:rFonts w:hint="eastAsia" w:ascii="仿宋_GB2312" w:hAnsi="宋体" w:eastAsia="仿宋_GB2312" w:cs="宋体"/>
          <w:kern w:val="0"/>
          <w:sz w:val="32"/>
          <w:szCs w:val="32"/>
        </w:rPr>
        <w:t>款：03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其他体育支出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lang w:val="en-US" w:eastAsia="zh-CN"/>
        </w:rPr>
        <w:t>10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项目没有变化</w:t>
      </w:r>
      <w:r>
        <w:rPr>
          <w:rFonts w:hint="eastAsia" w:ascii="仿宋_GB2312" w:hAnsi="宋体" w:eastAsia="仿宋_GB2312" w:cs="宋体"/>
          <w:kern w:val="0"/>
          <w:sz w:val="32"/>
          <w:szCs w:val="32"/>
          <w:lang w:eastAsia="zh-CN"/>
        </w:rPr>
        <w:t>。</w:t>
      </w:r>
      <w:r>
        <w:rPr>
          <w:rFonts w:hint="eastAsia" w:ascii="仿宋_GB2312" w:hAnsi="仿宋_GB2312" w:eastAsia="仿宋_GB2312"/>
          <w:sz w:val="32"/>
        </w:rPr>
        <w:t xml:space="preserve"> </w:t>
      </w:r>
    </w:p>
    <w:p>
      <w:pPr>
        <w:ind w:firstLine="640" w:firstLineChars="200"/>
        <w:rPr>
          <w:rFonts w:ascii="仿宋_GB2312" w:hAnsi="仿宋_GB2312" w:eastAsia="仿宋_GB2312"/>
          <w:sz w:val="32"/>
        </w:rPr>
      </w:pPr>
      <w:r>
        <w:rPr>
          <w:rFonts w:hint="eastAsia" w:ascii="黑体" w:hAnsi="宋体" w:eastAsia="黑体" w:cs="宋体"/>
          <w:kern w:val="0"/>
          <w:sz w:val="32"/>
          <w:szCs w:val="32"/>
        </w:rPr>
        <w:t>六、关于克州体育中心2021年一般公共预算基本支出情况说明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克州体育中心2021年一般公共预算基本支出102.49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人员经费86.49万元，主要包</w:t>
      </w:r>
      <w:bookmarkStart w:id="2" w:name="_GoBack"/>
      <w:bookmarkEnd w:id="2"/>
      <w:r>
        <w:rPr>
          <w:rFonts w:hint="eastAsia" w:ascii="仿宋_GB2312" w:hAnsi="宋体" w:eastAsia="仿宋_GB2312" w:cs="宋体"/>
          <w:kern w:val="0"/>
          <w:sz w:val="32"/>
          <w:szCs w:val="32"/>
        </w:rPr>
        <w:t>括：基本工资24.07万元、津贴补贴33.62万元、奖金2.01万元、机关事业单位基本养老保险缴费8.47万元、其他社会保障缴费4.14万元、住房公积金6.11万元、其他工资福利支出5.76万元、退休费1.42万元、生活补助0.89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公用经费16 万元，主要包括：取暖费15万元、工会经费0.36万元、福利费0.64万元。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七、关于克州体育中心2021年一般公共预算项目支出情况说明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运行费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公共文化服务体系</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：克州体育中心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每月1万元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2021年1月至12月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八、关于克州体育中心2021年一般公共预算“三公”经费预算情况说明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克州体育中心2021年一般公共预算“三公”经费数为    0万元，其中：因公出国（境）费 0 万元，公务用车购置0    万元，公务用车运行费0 万元，公务接待费0万元。</w:t>
      </w:r>
    </w:p>
    <w:p>
      <w:pPr>
        <w:spacing w:line="56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2021年一般公共预算“三公”经费比上年增加  0万元，其中：因公出国（境）费增加0万元，主要原因是未安排预算。公务用车购置费为0，未安排预算。[或公务用车购置费增加0万元，主要原因是未安排预算；公务用车运行费增加0万元，主要原因是未安排预算；公务接待费增加0万元，主要原因是</w:t>
      </w:r>
      <w:r>
        <w:rPr>
          <w:rFonts w:hint="eastAsia" w:ascii="仿宋_GB2312" w:hAnsi="仿宋_GB2312" w:eastAsia="仿宋_GB2312"/>
          <w:sz w:val="32"/>
        </w:rPr>
        <w:t>我单位为科级单位，上级主管部门为克州文广局，产生的</w:t>
      </w:r>
      <w:r>
        <w:rPr>
          <w:rFonts w:hint="eastAsia" w:ascii="仿宋_GB2312" w:hAnsi="宋体" w:eastAsia="仿宋_GB2312" w:cs="宋体"/>
          <w:kern w:val="0"/>
          <w:sz w:val="32"/>
          <w:szCs w:val="32"/>
        </w:rPr>
        <w:t>公务接待</w:t>
      </w:r>
      <w:r>
        <w:rPr>
          <w:rFonts w:hint="eastAsia" w:ascii="仿宋_GB2312" w:hAnsi="仿宋_GB2312" w:eastAsia="仿宋_GB2312"/>
          <w:sz w:val="32"/>
        </w:rPr>
        <w:t>费由文广局承担，因此我单位无</w:t>
      </w:r>
      <w:r>
        <w:rPr>
          <w:rFonts w:hint="eastAsia" w:ascii="仿宋_GB2312" w:hAnsi="宋体" w:eastAsia="仿宋_GB2312" w:cs="宋体"/>
          <w:kern w:val="0"/>
          <w:sz w:val="32"/>
          <w:szCs w:val="32"/>
        </w:rPr>
        <w:t>公务接待</w:t>
      </w:r>
      <w:r>
        <w:rPr>
          <w:rFonts w:hint="eastAsia" w:ascii="仿宋_GB2312" w:hAnsi="仿宋_GB2312" w:eastAsia="仿宋_GB2312"/>
          <w:sz w:val="32"/>
        </w:rPr>
        <w:t>费情况。</w:t>
      </w:r>
    </w:p>
    <w:p>
      <w:pPr>
        <w:widowControl/>
        <w:spacing w:line="560" w:lineRule="exact"/>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九、关于克州体育中心2021年政府性基金预算拨款情况说明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克州体育中心2021年没有使用政府性基金预算拨款安排的支出，政府性基金预算支出情况表为空表。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202年，克州体育中心本级及下属0家行政单位和0家事业单位的机关运行经费财政拨款预算16万元，比上年预算增加0.01万元，增长0.06 %。主要原因是人员调资。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2021年，克州体育中心政府采购预算27万元，其中：政府采购货物预算27万元，政府采购工程预算0万元，政府采购服务预算0万元。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2021年度克州体育中心面向中小企业预留政府采购项目预算金额0万元，其中：面向小微企业预留政府采购项目预算金额0万元。</w:t>
      </w:r>
    </w:p>
    <w:p>
      <w:pPr>
        <w:spacing w:line="560" w:lineRule="exact"/>
        <w:ind w:firstLine="472" w:firstLineChars="147"/>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截至2020年底，克州体育中心预算单位占用使用国有资产总体情况为19.2万元。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2.车辆0辆，价值0万元；其中：一般公务用车0辆，价值0万元；执法执勤用车0 辆，价值0 万元；其他车辆0  辆，价值0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3.办公家具价值1.29万元。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4.其他资产价值17.91万元。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2021年克州体育中心预算未安排购置车辆经费（或安排购置车辆经费0万元），安排购置50万元以上大型设备0 台（套），单位价值100万元以上大型设备0台（套）。</w:t>
      </w:r>
    </w:p>
    <w:p>
      <w:pPr>
        <w:tabs>
          <w:tab w:val="center" w:pos="4474"/>
        </w:tabs>
        <w:spacing w:line="560" w:lineRule="exact"/>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r>
        <w:rPr>
          <w:rFonts w:ascii="楷体_GB2312" w:hAnsi="宋体" w:eastAsia="楷体_GB2312" w:cs="宋体"/>
          <w:b/>
          <w:kern w:val="0"/>
          <w:sz w:val="32"/>
          <w:szCs w:val="32"/>
        </w:rPr>
        <w:tab/>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1个，涉及预算金额10 万元。具体情况见下表（按项目分别填报）：</w:t>
      </w:r>
    </w:p>
    <w:p>
      <w:pPr>
        <w:spacing w:line="560" w:lineRule="exact"/>
        <w:rPr>
          <w:rFonts w:ascii="仿宋_GB2312" w:hAnsi="宋体" w:eastAsia="仿宋_GB2312" w:cs="宋体"/>
          <w:kern w:val="0"/>
          <w:sz w:val="32"/>
          <w:szCs w:val="32"/>
        </w:rPr>
      </w:pP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克州体育中心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场馆运行费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10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kern w:val="0"/>
                <w:sz w:val="18"/>
                <w:szCs w:val="18"/>
              </w:rPr>
              <w:t>利用10万元场馆经费免费开放乒乓球、篮球馆、羽毛球等项目。力争做到健身活动常年不断线，不断掀起全民健身的高潮。</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0"/>
                <w:szCs w:val="20"/>
              </w:rPr>
            </w:pPr>
            <w:r>
              <w:rPr>
                <w:rFonts w:hint="eastAsia"/>
                <w:color w:val="000000"/>
                <w:sz w:val="20"/>
                <w:szCs w:val="20"/>
              </w:rPr>
              <w:t>场馆维修次数（次）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水、电费缴纳次数（次）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维修费用（万元）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提高服务能力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提高服务质量</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显著提升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保障场馆正常运行</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受益人员满意率（%）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600" w:firstLineChars="5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体育中心无其他事项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ascii="仿宋_GB2312" w:eastAsia="仿宋_GB2312"/>
          <w:sz w:val="32"/>
          <w:szCs w:val="32"/>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宋体" w:hAnsi="宋体"/>
          <w:sz w:val="32"/>
          <w:szCs w:val="32"/>
        </w:rPr>
      </w:pPr>
      <w:r>
        <w:rPr>
          <w:rFonts w:hint="eastAsia" w:ascii="黑体" w:hAnsi="黑体" w:eastAsia="黑体"/>
          <w:sz w:val="32"/>
          <w:szCs w:val="32"/>
        </w:rPr>
        <w:t>七、“三公”经费：</w:t>
      </w:r>
      <w:r>
        <w:rPr>
          <w:rFonts w:hint="eastAsia" w:ascii="宋体" w:hAnsi="宋体"/>
          <w:sz w:val="32"/>
          <w:szCs w:val="32"/>
        </w:rPr>
        <w:t>无</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800" w:hanging="4800" w:hangingChars="15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kern w:val="0"/>
          <w:sz w:val="30"/>
          <w:szCs w:val="30"/>
        </w:rPr>
        <w:t>克孜勒苏柯尔克孜自治州</w:t>
      </w:r>
      <w:r>
        <w:rPr>
          <w:rFonts w:hint="eastAsia" w:ascii="仿宋_GB2312" w:hAnsi="宋体" w:eastAsia="仿宋_GB2312" w:cs="宋体"/>
          <w:kern w:val="0"/>
          <w:sz w:val="30"/>
          <w:szCs w:val="30"/>
        </w:rPr>
        <w:t>克州体育中心</w:t>
      </w: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2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- 31 -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4347D"/>
    <w:rsid w:val="00054ABF"/>
    <w:rsid w:val="0009522A"/>
    <w:rsid w:val="000C2AA9"/>
    <w:rsid w:val="00121764"/>
    <w:rsid w:val="001662FE"/>
    <w:rsid w:val="00172C01"/>
    <w:rsid w:val="00186398"/>
    <w:rsid w:val="001D3009"/>
    <w:rsid w:val="0020642E"/>
    <w:rsid w:val="002166BA"/>
    <w:rsid w:val="002650A2"/>
    <w:rsid w:val="00295C82"/>
    <w:rsid w:val="002B32CC"/>
    <w:rsid w:val="00324290"/>
    <w:rsid w:val="00396814"/>
    <w:rsid w:val="003A38D1"/>
    <w:rsid w:val="003B4B5F"/>
    <w:rsid w:val="003C61E3"/>
    <w:rsid w:val="00432267"/>
    <w:rsid w:val="004422D6"/>
    <w:rsid w:val="00493EEC"/>
    <w:rsid w:val="004C06DA"/>
    <w:rsid w:val="004F62F9"/>
    <w:rsid w:val="0050006E"/>
    <w:rsid w:val="00520D5A"/>
    <w:rsid w:val="005724EB"/>
    <w:rsid w:val="00595461"/>
    <w:rsid w:val="005A143C"/>
    <w:rsid w:val="005A4464"/>
    <w:rsid w:val="005D01D8"/>
    <w:rsid w:val="0061261B"/>
    <w:rsid w:val="00661432"/>
    <w:rsid w:val="006A3660"/>
    <w:rsid w:val="006B41C7"/>
    <w:rsid w:val="006B6A8C"/>
    <w:rsid w:val="007219F8"/>
    <w:rsid w:val="007E2CEA"/>
    <w:rsid w:val="0085069A"/>
    <w:rsid w:val="00856F91"/>
    <w:rsid w:val="00871883"/>
    <w:rsid w:val="00882859"/>
    <w:rsid w:val="008A2A38"/>
    <w:rsid w:val="009035BA"/>
    <w:rsid w:val="00916A6D"/>
    <w:rsid w:val="00944EFC"/>
    <w:rsid w:val="00950B98"/>
    <w:rsid w:val="009557DC"/>
    <w:rsid w:val="0096028F"/>
    <w:rsid w:val="0099744C"/>
    <w:rsid w:val="009A69A3"/>
    <w:rsid w:val="009B755A"/>
    <w:rsid w:val="009C6198"/>
    <w:rsid w:val="00A80F24"/>
    <w:rsid w:val="00A86BE1"/>
    <w:rsid w:val="00A9706D"/>
    <w:rsid w:val="00AA5022"/>
    <w:rsid w:val="00AD5B88"/>
    <w:rsid w:val="00B23428"/>
    <w:rsid w:val="00B75FC2"/>
    <w:rsid w:val="00BA582F"/>
    <w:rsid w:val="00BE18A6"/>
    <w:rsid w:val="00C117E5"/>
    <w:rsid w:val="00CA4E1E"/>
    <w:rsid w:val="00CD6535"/>
    <w:rsid w:val="00CE5389"/>
    <w:rsid w:val="00D05828"/>
    <w:rsid w:val="00D346DA"/>
    <w:rsid w:val="00DC05BF"/>
    <w:rsid w:val="00E569BC"/>
    <w:rsid w:val="00E90DF0"/>
    <w:rsid w:val="00EF4090"/>
    <w:rsid w:val="00F23247"/>
    <w:rsid w:val="00F23808"/>
    <w:rsid w:val="00F42E14"/>
    <w:rsid w:val="00F54FE8"/>
    <w:rsid w:val="00F830A1"/>
    <w:rsid w:val="00F83503"/>
    <w:rsid w:val="00F90952"/>
    <w:rsid w:val="00F96EA6"/>
    <w:rsid w:val="00FA5875"/>
    <w:rsid w:val="0D9B32C8"/>
    <w:rsid w:val="5CE757FF"/>
    <w:rsid w:val="5D7C0A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iPriority w:val="0"/>
    <w:rPr>
      <w:rFonts w:asciiTheme="minorHAnsi" w:hAnsiTheme="minorHAnsi" w:eastAsiaTheme="minorEastAsia" w:cstheme="minorBidi"/>
      <w:sz w:val="18"/>
      <w:szCs w:val="18"/>
    </w:rPr>
  </w:style>
  <w:style w:type="paragraph" w:styleId="3">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uiPriority w:val="0"/>
  </w:style>
  <w:style w:type="table" w:styleId="11">
    <w:name w:val="Table Grid"/>
    <w:basedOn w:val="10"/>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uiPriority w:val="0"/>
    <w:rPr>
      <w:sz w:val="18"/>
      <w:szCs w:val="18"/>
    </w:rPr>
  </w:style>
  <w:style w:type="character" w:customStyle="1" w:styleId="13">
    <w:name w:val="页脚 Char"/>
    <w:basedOn w:val="7"/>
    <w:link w:val="3"/>
    <w:uiPriority w:val="99"/>
    <w:rPr>
      <w:sz w:val="18"/>
      <w:szCs w:val="18"/>
    </w:rPr>
  </w:style>
  <w:style w:type="character" w:customStyle="1" w:styleId="14">
    <w:name w:val="批注框文本 Char"/>
    <w:link w:val="2"/>
    <w:semiHidden/>
    <w:uiPriority w:val="0"/>
    <w:rPr>
      <w:sz w:val="18"/>
      <w:szCs w:val="18"/>
    </w:rPr>
  </w:style>
  <w:style w:type="character" w:customStyle="1" w:styleId="15">
    <w:name w:val="正文文本缩进 3 Char"/>
    <w:link w:val="5"/>
    <w:uiPriority w:val="0"/>
    <w:rPr>
      <w:rFonts w:eastAsia="仿宋_GB2312"/>
      <w:sz w:val="32"/>
      <w:szCs w:val="24"/>
    </w:rPr>
  </w:style>
  <w:style w:type="paragraph" w:customStyle="1" w:styleId="16">
    <w:name w:val="普通(网站)2"/>
    <w:basedOn w:val="1"/>
    <w:uiPriority w:val="0"/>
    <w:rPr>
      <w:rFonts w:ascii="Calibri" w:hAnsi="Calibri" w:cs="黑体"/>
      <w:sz w:val="24"/>
    </w:rPr>
  </w:style>
  <w:style w:type="character" w:customStyle="1" w:styleId="17">
    <w:name w:val="正文文本缩进 3 字符1"/>
    <w:basedOn w:val="7"/>
    <w:semiHidden/>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uiPriority w:val="0"/>
    <w:rPr>
      <w:rFonts w:ascii="Calibri" w:hAnsi="Calibri" w:cs="黑体"/>
      <w:sz w:val="24"/>
    </w:rPr>
  </w:style>
  <w:style w:type="character" w:customStyle="1" w:styleId="20">
    <w:name w:val="批注框文本 字符1"/>
    <w:basedOn w:val="7"/>
    <w:semiHidden/>
    <w:uiPriority w:val="99"/>
    <w:rPr>
      <w:rFonts w:ascii="Times New Roman" w:hAnsi="Times New Roman" w:eastAsia="宋体" w:cs="Times New Roman"/>
      <w:sz w:val="18"/>
      <w:szCs w:val="18"/>
    </w:rPr>
  </w:style>
  <w:style w:type="paragraph" w:customStyle="1" w:styleId="2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1473</Words>
  <Characters>8399</Characters>
  <Lines>69</Lines>
  <Paragraphs>19</Paragraphs>
  <TotalTime>7</TotalTime>
  <ScaleCrop>false</ScaleCrop>
  <LinksUpToDate>false</LinksUpToDate>
  <CharactersWithSpaces>9853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2021-02-19T13:39:00Z</dcterms:created>
  <dc:creator>薛理升</dc:creator>
  <cp:lastModifiedBy>秦昭魂梦</cp:lastModifiedBy>
  <dcterms:modified xsi:type="dcterms:W3CDTF">2021-03-01T11:52:28Z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