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bookmarkStart w:id="0" w:name="csmb"/>
      <w:r>
        <w:rPr>
          <w:rFonts w:hint="default" w:ascii="Times New Roman" w:hAnsi="Times New Roman" w:eastAsia="楷体_GB2312" w:cs="Times New Roman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default" w:ascii="Times New Roman" w:hAnsi="Times New Roman" w:eastAsia="楷体_GB2312" w:cs="Times New Roman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克孜勒苏柯尔克孜自治州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机关事务服务中心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2021年预算公开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line="44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6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line="44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6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第一部分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（单位）概况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第二部分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一、部门（单位）收支总体情况表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二、部门（单位）收入总体情况表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三、部门（单位）支出总体情况表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七、一般公共预算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第三部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四、关于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九、关于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第四部分  名词解释</w:t>
      </w:r>
    </w:p>
    <w:p>
      <w:pPr>
        <w:pStyle w:val="2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第一部分 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hint="default" w:ascii="Times New Roman" w:hAnsi="Times New Roman" w:cs="Times New Roman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　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（一）监督指导全州机关事务系统管理、保障、服务和体制改革的职责。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（二）负责州级机关事务的管理、保障、服务工作。根据自治区和自治州有关政策、规章制度，拟定自治州机关事务管理工作的规划和规章制度并组织实施。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负责自治州本级办公用房、统管房、周转房资产管理有关工作；负责自治州本级党政机关办公用房和公务用车统一管理；指导监督县（市）党政机关办公用房和公务用车管理；负责做好自治州本级党政机关用地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负责自治州本级机关及部分事业单位公产房屋的资产和建设管理，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编制基建计划，制定相应管理制度；承担自治州厅级领导住宅和家属院的建设、维修管理；审批房屋修缮项目和分配房屋修缮经费；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对自治州四套班子国有资产行使资产所有者代表的职能；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落实自治区和自治州机关住房制度改革等工作；负责州级机关周转房的管理工作。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（五）落实自治区和自治州机关后勤体制改革政策，拟订办法并组织实施；负责州级机关工作区、住宅区的规划、道路布局、环境秩序、绿化、美化、卫生管理及水、电、暖、气、照的供应及修缮工作。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负责自治州本级机关、事业单位、社会团体有关节能降耗工作；会同有关部门制定自治州本级公共机构节能规划、规章制度并组织实施；组织开展能耗统计、监测和评价考核工作；负责推进、指导、协调、监督县（市）公共机构节能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（七）负责自治州机关（工作区、住宅区）安全保卫和综合治理工作。</w:t>
      </w:r>
    </w:p>
    <w:p>
      <w:pPr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（八）承办自治州党委、人民政府交办的其他事项。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　  </w:t>
      </w: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无下属预算单位，下设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个科室，分别是：</w:t>
      </w:r>
      <w:r>
        <w:rPr>
          <w:rFonts w:hint="default" w:ascii="Times New Roman" w:hAnsi="Times New Roman" w:eastAsia="仿宋" w:cs="Times New Roman"/>
          <w:sz w:val="32"/>
          <w:szCs w:val="32"/>
        </w:rPr>
        <w:t>办公室、房产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</w:rPr>
        <w:t>科、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公共资产基建</w:t>
      </w:r>
      <w:r>
        <w:rPr>
          <w:rFonts w:hint="default" w:ascii="Times New Roman" w:hAnsi="Times New Roman" w:eastAsia="仿宋" w:cs="Times New Roman"/>
          <w:sz w:val="32"/>
          <w:szCs w:val="32"/>
        </w:rPr>
        <w:t>科、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规划财务科、公务用车管理科、公共机构节能科、</w:t>
      </w:r>
      <w:r>
        <w:rPr>
          <w:rFonts w:hint="default" w:ascii="Times New Roman" w:hAnsi="Times New Roman" w:eastAsia="仿宋" w:cs="Times New Roman"/>
          <w:sz w:val="32"/>
          <w:szCs w:val="32"/>
        </w:rPr>
        <w:t>物业科、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" w:cs="Times New Roman"/>
          <w:sz w:val="32"/>
          <w:szCs w:val="32"/>
        </w:rPr>
        <w:t>保卫科。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单位编制数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人，实有人数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人，其中：在职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人； 退休2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人；离休0人，增加0人。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1年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表一：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部门（单位）收支总体情况表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1015.13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1057.13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部门（单位）收入总体情况表</w:t>
      </w:r>
    </w:p>
    <w:p>
      <w:pPr>
        <w:widowControl/>
        <w:spacing w:before="100" w:beforeAutospacing="1" w:after="100" w:afterAutospacing="1" w:line="280" w:lineRule="exact"/>
        <w:outlineLvl w:val="1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</w:t>
      </w: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单位：万元</w:t>
      </w:r>
    </w:p>
    <w:tbl>
      <w:tblPr>
        <w:tblStyle w:val="8"/>
        <w:tblW w:w="10456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10"/>
        <w:gridCol w:w="585"/>
        <w:gridCol w:w="1875"/>
        <w:gridCol w:w="915"/>
        <w:gridCol w:w="1005"/>
        <w:gridCol w:w="450"/>
        <w:gridCol w:w="555"/>
        <w:gridCol w:w="555"/>
        <w:gridCol w:w="315"/>
        <w:gridCol w:w="495"/>
        <w:gridCol w:w="540"/>
        <w:gridCol w:w="495"/>
        <w:gridCol w:w="555"/>
        <w:gridCol w:w="410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  <w:t>经营预算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17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3"/>
                <w:szCs w:val="13"/>
              </w:rPr>
              <w:t>　</w:t>
            </w:r>
            <w:r>
              <w:rPr>
                <w:rFonts w:hint="eastAsia" w:eastAsia="仿宋_GB2312" w:cs="Times New Roman"/>
                <w:color w:val="00000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3"/>
                <w:szCs w:val="13"/>
              </w:rPr>
              <w:t>政府办公厅（室）及相关机构事务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17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3"/>
                <w:szCs w:val="13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3"/>
                <w:szCs w:val="13"/>
                <w:lang w:eastAsia="zh-CN"/>
              </w:rPr>
              <w:t>机关服务（政府办公厅（室）及相关机构事务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17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17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部门（单位）支出总体情况表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 w:line="280" w:lineRule="exact"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单位：万元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                           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20"/>
        <w:gridCol w:w="420"/>
        <w:gridCol w:w="2492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678.13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379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678.13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379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 w:cs="Times New Roman"/>
                <w:color w:val="000000"/>
                <w:sz w:val="15"/>
                <w:szCs w:val="15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机关服务（政府办公厅（室）及相关机构事务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1057.13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678.13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379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1057.13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678.13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379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表四：</w:t>
      </w:r>
      <w:r>
        <w:rPr>
          <w:rFonts w:hint="eastAsia" w:eastAsia="仿宋_GB2312" w:cs="Times New Roman"/>
          <w:b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00" w:beforeAutospacing="1" w:after="100" w:afterAutospacing="1" w:line="280" w:lineRule="exac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90"/>
        <w:gridCol w:w="2580"/>
        <w:gridCol w:w="1034"/>
        <w:gridCol w:w="914"/>
        <w:gridCol w:w="105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1015.13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1015.13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国有资本经营预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  <w:t>算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算预算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1015.13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1015.13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1015.13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表五：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一般公共预算支出情况表</w:t>
            </w:r>
          </w:p>
          <w:p>
            <w:pPr>
              <w:widowControl/>
              <w:spacing w:before="100" w:beforeAutospacing="1" w:after="100" w:afterAutospacing="1" w:line="280" w:lineRule="exact"/>
              <w:outlineLvl w:val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编制部门（单位）：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克孜勒苏柯尔克孜自治州机关事务服务中心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653.13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362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653.13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362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机关服务（政府办公厅（室）及相关机构事务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653.13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362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653.13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362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</w:tbl>
    <w:p>
      <w:pPr>
        <w:widowControl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17"/>
        <w:gridCol w:w="2551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一般公共预算基本支出情况表</w:t>
            </w:r>
          </w:p>
          <w:p>
            <w:pPr>
              <w:widowControl/>
              <w:spacing w:before="100" w:beforeAutospacing="1" w:after="100" w:afterAutospacing="1" w:line="280" w:lineRule="exact"/>
              <w:outlineLvl w:val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编制部门（单位）：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克孜勒苏柯尔克孜自治州机关事务服务中心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138.23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表七：</w:t>
      </w:r>
    </w:p>
    <w:tbl>
      <w:tblPr>
        <w:tblStyle w:val="8"/>
        <w:tblW w:w="9543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531"/>
        <w:gridCol w:w="504"/>
        <w:gridCol w:w="426"/>
        <w:gridCol w:w="1796"/>
        <w:gridCol w:w="818"/>
        <w:gridCol w:w="682"/>
        <w:gridCol w:w="313"/>
        <w:gridCol w:w="778"/>
        <w:gridCol w:w="341"/>
        <w:gridCol w:w="627"/>
        <w:gridCol w:w="598"/>
        <w:gridCol w:w="343"/>
        <w:gridCol w:w="613"/>
        <w:gridCol w:w="410"/>
        <w:gridCol w:w="381"/>
        <w:gridCol w:w="289"/>
        <w:gridCol w:w="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一般公共预算项目支出情况表</w:t>
            </w:r>
          </w:p>
          <w:p>
            <w:pPr>
              <w:widowControl/>
              <w:spacing w:before="100" w:beforeAutospacing="1" w:after="100" w:afterAutospacing="1" w:line="280" w:lineRule="exact"/>
              <w:outlineLvl w:val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编制部门（单位）：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克孜勒苏柯尔克孜自治州机关事务服务中心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30" w:hRule="atLeast"/>
        </w:trPr>
        <w:tc>
          <w:tcPr>
            <w:tcW w:w="1461" w:type="dxa"/>
            <w:gridSpan w:val="3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796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1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4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8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7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646" w:hRule="atLeast"/>
        </w:trPr>
        <w:tc>
          <w:tcPr>
            <w:tcW w:w="5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7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4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8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67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机关服务（政府办公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厅（室）及相关机构事务）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机关服务（政府办公厅（室）及相关机构事务）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电费及零星维修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机关服务（政府办公厅（室）及相关机构事务）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水费及零星维修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81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机关食堂补助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　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794" w:hRule="exac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81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机关车队运行经费</w:t>
            </w: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  <w:t>　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.00</w:t>
            </w:r>
          </w:p>
        </w:tc>
        <w:tc>
          <w:tcPr>
            <w:tcW w:w="34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67" w:hRule="exact"/>
        </w:trPr>
        <w:tc>
          <w:tcPr>
            <w:tcW w:w="53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04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796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362.00</w:t>
            </w:r>
          </w:p>
        </w:tc>
        <w:tc>
          <w:tcPr>
            <w:tcW w:w="34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27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98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4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13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81" w:type="dxa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79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80" w:lineRule="exact"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42"/>
        <w:gridCol w:w="1435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政府性基金预算支出情况表</w:t>
      </w:r>
    </w:p>
    <w:p>
      <w:pPr>
        <w:widowControl/>
        <w:spacing w:before="100" w:beforeAutospacing="1" w:after="100" w:afterAutospacing="1" w:line="280" w:lineRule="exact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编制部门（单位）：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default" w:ascii="Times New Roman" w:hAnsi="Times New Roman" w:eastAsia="仿宋_GB2312" w:cs="Times New Roman"/>
          <w:b/>
          <w:kern w:val="0"/>
          <w:sz w:val="28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</w:rPr>
        <w:t>备注：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lang w:eastAsia="zh-CN"/>
        </w:rPr>
        <w:t>克孜勒苏柯尔克孜自治州机关事务服务中心无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</w:rPr>
        <w:t>政府性基金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  <w:lang w:eastAsia="zh-CN"/>
        </w:rPr>
        <w:t>预算拨款情况说明支出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32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第三部分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2021年收支预算情况的总体说明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按照全口径预算的原则，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2021年所有收入和支出均纳入部门（单位）预算管理。收支总预算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1057.13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收入预算包括：一般公共预算、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上级专项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收入。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支出预算包括：一般公共服务支出。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2021年收入预算情况说明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收入预算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1057.13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万元，其中：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一般公共预算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1015.13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96.03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75.6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万元，主要原因是2021年度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增加机关食堂补助经费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30万元，机关车队运行经费35万元。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国有资本经营预算未安排。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上级转项收入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1.61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与上年持平。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2021年支出预算情况说明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2021年支出预算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1057.13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678.13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64.15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人员经费的增加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34.25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万元，主要原因2021年度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机关食堂补助经费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及机关车队运行经费的增加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。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四、关于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2021年财政拨款收支预算情况的总体说明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2021年财政拨款收支总预算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1015.13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收入全部为一般公共预算拨款，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无政府性基金预算拨款和国有资本经营预算。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 xml:space="preserve">收入预算包括：一般公共预算拨款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1015.13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b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一般公共预算支出包括：一般公共服务支出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1015.13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万元，主要用于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eastAsia="zh-CN"/>
        </w:rPr>
        <w:t>人员经费及公用经费支出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2021年一般公共预算当年拨款情况说明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克孜勒苏柯尔克孜自治州机关事务服务中心202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1年一般公共预算拨款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合计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1015.13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其中：基本支出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653.13万元，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1.62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人员经费的增加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。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17.95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机关食堂补助经费及机关车队运行经费的增加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。   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1.一般公共服务201030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1057.13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1.一般公共服务（类：201 ）财政事务（款： 03 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机关服务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（项：0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）:2021年预算数为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1057.13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9.52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%。主要原因是：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人员经费及机关食堂补助经费、机关车队运行经费的增加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。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2021年一般公共预算基本支出情况说明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2021年一般公共预算基本支出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653.13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人员经费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514.90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万元，主要包括：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基本工资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148.12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；津贴补贴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189.07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万元、奖金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12.34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万元、机关事业单位基本养老保险缴费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54.02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其他社会保障缴费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37.38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万元、住房公积金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35.4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奖励金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退休费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17.54万元、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其他对个人和家庭的补助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19.88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公用经费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138.23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万元，主要包括：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办公用品及设备采购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4万元、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2.38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、邮电费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3.5万元、工会经费2.11万元、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福利费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3.79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公务用车运行维护费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4万元、取暖费118.45万元。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2021年一般公共预算项目支出情况说明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项目名称1：水费及零星维修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设立的政策依据：州政府文件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预算安排规模：50万元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项目承担单位：克孜勒苏柯尔克孜自治州机关事务服务中心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资金分配情况：州机关大院及行政服务中心水费20万元及自来水管道维修及材料采购30万元。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资金执行时间：2021年1月1日-2021年12月31日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项目名称2：电费及零星维修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设立的政策依据：州政府文件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预算安排规模：90万元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项目承担单位：克孜勒苏柯尔克孜自治州机关事务服务中心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资金分配情况：州机关大院及行政服务中心电费80万元及线路维修及材料采购10万元。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资金执行时间：2021年1月1日-2021年12月31日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项目名称3：机关食堂补助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设立的政策依据：州政府文件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预算安排规模：180万元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项目承担单位：克孜勒苏柯尔克孜自治州机关事务服务中心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资金分配情况：机关食堂聘用人员工资60万元、购买副食品120万元。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资金执行时间：2021年1月1日-2021年12月31日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：机关车队运行经费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设立的政策依据：州政府文件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预算安排规模：35万元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项目承担单位：克孜勒苏柯尔克孜自治州机关事务服务中心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资金分配情况：车队运行维护费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资金执行时间：2021年1月1日-2021年12月31日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：群众工作经费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设立的政策依据：州政府文件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预算安排规模：7万元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项目承担单位：克孜勒苏柯尔克孜自治州机关事务服务中心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资金分配情况：群众点办公用品及设备购置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资金执行时间：2021年1月1日-2021年12月31日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情况二：（属于对个人补贴的项目支出按下列内容说明）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项目名称：无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设立的政策依据：无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预算安排规模：无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项目承担单位：无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资金分配情况：无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资金执行时间：无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资金来源：无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补贴人数：无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补贴标准：无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补贴范围：无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补贴方式：无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发放程序：无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受益人群和社会效益：无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2021年一般公共预算“三公”经费预算情况说明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克孜勒苏柯尔克孜自治州机关事务服务中心2021年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为4万元，其中：因公出国（境）费0万元，公务用车购置0万元，公务用车运行费4万元，公务接待费0万元。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减少1万元，其中：因公出国（境）费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0万元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，主要原因是财政预算未安排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；公务用车购置费为0万元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；公务用车运行费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增加0万元，主要原因是压缩单位车辆油费开支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；公务接待费减少1万元，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主要原因是减少接待人数及次数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克孜勒苏柯尔克孜自治州机关事务服务中心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2021年政府性基金预算拨款情况说明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克孜勒苏柯尔克孜自治州机关事务服务中心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克孜勒苏柯尔克孜自治州机关事务服务中心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138.23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万元，比上年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0.27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主要原因是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工会经费及福利费的减少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2021年，本单位政府采购预算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万元，其中：政府采购货物预算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万元，政府采购工程预算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万元，政府采购服务预算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2021年度本单位面向中小企业预留政府采购项目预算金额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</w:rPr>
        <w:t>万元，其中：面向小微企业预留政府采购项目预算金额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</w:rPr>
        <w:t>万元。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截至2020年底，本部门（单位）及下属各预算单位占用使用国有资产总体情况为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1.房屋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64502.26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平方米，价值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13597.65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2.车辆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1236.25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万元；其中：一般公务用车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131.84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万元；执法执勤用车0 辆，价值0万元；其他车辆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1104.41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3.办公家具价值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211.80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4.其他资产价值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930.58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单位价值50万元以上大型设备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台（套），单位价值100万元以上大型设备0台（套）。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2021年单位预算未安排购置车辆经费（或安排购置车辆经费0万元），安排购置50万元以上大型设备0台（套），单位价值100万元以上大型设备 0台（套）。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2021年度，本年度实行绩效管理的一般公共预算项目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个，涉及预算金额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万元。具体情况见下表（按项目分别填报）：</w:t>
      </w:r>
    </w:p>
    <w:tbl>
      <w:tblPr>
        <w:tblStyle w:val="8"/>
        <w:tblW w:w="99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36"/>
        <w:gridCol w:w="1016"/>
        <w:gridCol w:w="3299"/>
        <w:gridCol w:w="3363"/>
        <w:gridCol w:w="645"/>
        <w:gridCol w:w="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水费及零星维修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该项目资金用于州机关大院及行政服务中心办公、绿化用水及自来水管道维修。通过该项目的实施，保障各单位工作情况需要，提升公共服务能力。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每月用水量（万立方/月）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维修自来水管道等次数(次）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维修自来水管道验收合格率（%）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水费缴纳及时率（%）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水费缴费标准（元/立方）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管道维修及材料采购支出（万元）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保障业务工作需要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满足机关大院各单位用水需求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受益单位满意度（%）</w:t>
            </w:r>
          </w:p>
        </w:tc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tbl>
      <w:tblPr>
        <w:tblStyle w:val="8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36"/>
        <w:gridCol w:w="2265"/>
        <w:gridCol w:w="2969"/>
        <w:gridCol w:w="1485"/>
        <w:gridCol w:w="1409"/>
        <w:gridCol w:w="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电费及零星维修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该项目资金用于州机关大院及行政服务中心办公区日常办公用电、大院美化量化、应急通讯保障用电及线路设备的零星维修。通过该项目的实施，保障各单位工作情况需要，提升公共服务能力。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每月用电量（万度/月）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维修线路及照明设备等次数（次)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维修线路及照明设备等合格率（%）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电费缴纳及时率（%）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电费缴费标准（元/度）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线路及照明设备等维修支出（万元）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保障业务工作需要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满足机关大院各单位用电需求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受益单位满意度（%）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tbl>
      <w:tblPr>
        <w:tblStyle w:val="8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35"/>
        <w:gridCol w:w="1770"/>
        <w:gridCol w:w="496"/>
        <w:gridCol w:w="2940"/>
        <w:gridCol w:w="29"/>
        <w:gridCol w:w="1084"/>
        <w:gridCol w:w="373"/>
        <w:gridCol w:w="28"/>
        <w:gridCol w:w="1085"/>
        <w:gridCol w:w="240"/>
        <w:gridCol w:w="57"/>
        <w:gridCol w:w="27"/>
        <w:gridCol w:w="213"/>
        <w:gridCol w:w="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机关食堂生活补助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6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1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该项目资金用于州机关大院及行政服务中心1000多名干部职工一日三餐生活补助。通过该项目的实施，落实员工关爱机制，保障工作人员生活需要，提升公共服务效力。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补贴人员数量（人）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购买食材次数（次）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饭菜卫生合格率（%）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补贴资金到位率（%）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补贴人员标准（元/人/天）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购买食材及日用品支出（万元/月）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补助人员生活改善情况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补助人员工作效率情况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补助人员满意度（%）</w:t>
            </w:r>
          </w:p>
        </w:tc>
        <w:tc>
          <w:tcPr>
            <w:tcW w:w="31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80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80" w:hRule="atLeast"/>
        </w:trPr>
        <w:tc>
          <w:tcPr>
            <w:tcW w:w="96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85" w:hRule="atLeast"/>
        </w:trPr>
        <w:tc>
          <w:tcPr>
            <w:tcW w:w="96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5" w:hRule="atLeast"/>
        </w:trPr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机关车队运行经费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31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3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31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439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该项目资金实施保障州党政机关事业单位公务用车正常运行，有效保障公务活动实施，提高工作效率。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8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管理车辆数（辆）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车辆维修次数(次/月/辆）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车辆维修保养合格率（%）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车辆行驶安全率（%）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车辆派车及时率（%）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车辆维修保养支出（万元）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车辆ETC费用（万元）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车辆保险费支出（万元）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保障业务工作需要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提高公共服务能力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满足公务用车需求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受益单位满意度（%）</w:t>
            </w:r>
          </w:p>
        </w:tc>
        <w:tc>
          <w:tcPr>
            <w:tcW w:w="3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80" w:hRule="atLeast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80" w:hRule="atLeast"/>
        </w:trPr>
        <w:tc>
          <w:tcPr>
            <w:tcW w:w="9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285" w:hRule="atLeast"/>
        </w:trPr>
        <w:tc>
          <w:tcPr>
            <w:tcW w:w="9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5" w:hRule="atLeast"/>
        </w:trPr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克孜勒苏柯尔克孜自治州机关事务管理局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361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36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36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439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1062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该项目资金用于保障群众工作队各项工作正常开展，提高工作效率，确保群众点阿克陶镇诺库其艾日克村早日脱贫致富。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6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5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购买办公用品、设备及耗材（批次）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车辆用油（升/月）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5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开展工作资金到位率（%）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验收合格率（%）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4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购买办公用品及耗材支出（万元/月）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7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车辆油费支出（万元/月）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7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村委会办公环境改善情况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6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6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工作人员工作效率情况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" w:type="dxa"/>
          <w:trHeight w:val="102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工作人员满意度（%）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其他需说明的事项</w:t>
      </w:r>
    </w:p>
    <w:p>
      <w:pPr>
        <w:widowControl/>
        <w:spacing w:line="520" w:lineRule="exact"/>
        <w:ind w:firstLine="63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克孜勒苏柯尔克孜自治州机关事务服务中心无其他需说明的事项。</w:t>
      </w:r>
    </w:p>
    <w:p>
      <w:pPr>
        <w:widowControl/>
        <w:spacing w:beforeLines="50" w:line="52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Lines="50" w:line="52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Lines="50" w:line="52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beforeLines="50" w:line="52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名词解释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一、财政拨款：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包括公共财政拨款资金、专项收入。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、其他资金：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包括其他收入。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、基本支出：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包括人员经费、</w:t>
      </w:r>
      <w:r>
        <w:rPr>
          <w:rFonts w:hint="eastAsia" w:eastAsia="仿宋_GB2312" w:cs="Times New Roman"/>
          <w:sz w:val="32"/>
          <w:szCs w:val="32"/>
          <w:lang w:eastAsia="zh-CN"/>
        </w:rPr>
        <w:t>公用经费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人员经费包括工资福利支出、对个人和家庭的补助。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、项目支出：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单位支出预算的组成部分，是自治区本级单位为完成其特定的行政任务或事业发展目标，在基本支出预算之外编制的年度项目支出计划。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、“三公”经费：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自治州本级单位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支出。</w:t>
      </w:r>
    </w:p>
    <w:p>
      <w:pPr>
        <w:spacing w:line="520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、机关运行经费：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单位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克孜勒苏柯尔克孜自治州机关事务服务中心</w:t>
      </w:r>
    </w:p>
    <w:p>
      <w:pPr>
        <w:pStyle w:val="2"/>
        <w:jc w:val="center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2021年2月5日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left="3150" w:left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31" w:y="37"/>
      <w:jc w:val="right"/>
      <w:rPr>
        <w:rStyle w:val="12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- 18 -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hint="eastAsia" w:ascii="宋体" w:hAnsi="宋体" w:eastAsia="宋体"/>
        <w:sz w:val="28"/>
      </w:rPr>
      <w:t xml:space="preserve">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56" w:y="37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F7DF7"/>
    <w:multiLevelType w:val="singleLevel"/>
    <w:tmpl w:val="ACAF7DF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8920EF6"/>
    <w:multiLevelType w:val="singleLevel"/>
    <w:tmpl w:val="78920EF6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BF"/>
    <w:rsid w:val="000253A7"/>
    <w:rsid w:val="00032D5E"/>
    <w:rsid w:val="0009522A"/>
    <w:rsid w:val="000A446D"/>
    <w:rsid w:val="000C350B"/>
    <w:rsid w:val="000F140C"/>
    <w:rsid w:val="0010379C"/>
    <w:rsid w:val="00105B9B"/>
    <w:rsid w:val="00121764"/>
    <w:rsid w:val="001246B2"/>
    <w:rsid w:val="001410DA"/>
    <w:rsid w:val="00146E16"/>
    <w:rsid w:val="00163AF1"/>
    <w:rsid w:val="001662FE"/>
    <w:rsid w:val="00172C01"/>
    <w:rsid w:val="00186398"/>
    <w:rsid w:val="001D3009"/>
    <w:rsid w:val="001F5533"/>
    <w:rsid w:val="002166BA"/>
    <w:rsid w:val="00221F09"/>
    <w:rsid w:val="002C261B"/>
    <w:rsid w:val="002C4CA9"/>
    <w:rsid w:val="002C6E1A"/>
    <w:rsid w:val="002D7DF6"/>
    <w:rsid w:val="002E5A9A"/>
    <w:rsid w:val="002F3187"/>
    <w:rsid w:val="00302593"/>
    <w:rsid w:val="003178FD"/>
    <w:rsid w:val="00322052"/>
    <w:rsid w:val="00324290"/>
    <w:rsid w:val="00356F0F"/>
    <w:rsid w:val="00396814"/>
    <w:rsid w:val="003B4B5F"/>
    <w:rsid w:val="003C2AD8"/>
    <w:rsid w:val="003C61E3"/>
    <w:rsid w:val="003E64E5"/>
    <w:rsid w:val="0042442C"/>
    <w:rsid w:val="00424D47"/>
    <w:rsid w:val="00432267"/>
    <w:rsid w:val="004377B3"/>
    <w:rsid w:val="00441330"/>
    <w:rsid w:val="00470D5F"/>
    <w:rsid w:val="00493EEC"/>
    <w:rsid w:val="004A72BA"/>
    <w:rsid w:val="004B1FE5"/>
    <w:rsid w:val="004B5A44"/>
    <w:rsid w:val="004D2619"/>
    <w:rsid w:val="004E6BBE"/>
    <w:rsid w:val="004E6FB9"/>
    <w:rsid w:val="004F62F9"/>
    <w:rsid w:val="00520D5A"/>
    <w:rsid w:val="005303E5"/>
    <w:rsid w:val="00536398"/>
    <w:rsid w:val="0056004C"/>
    <w:rsid w:val="0056338A"/>
    <w:rsid w:val="00592B4B"/>
    <w:rsid w:val="005B4A5A"/>
    <w:rsid w:val="005F5101"/>
    <w:rsid w:val="00641FBF"/>
    <w:rsid w:val="006836D5"/>
    <w:rsid w:val="00696574"/>
    <w:rsid w:val="006B6A8C"/>
    <w:rsid w:val="006D5EAD"/>
    <w:rsid w:val="0072037B"/>
    <w:rsid w:val="007219F8"/>
    <w:rsid w:val="00780E99"/>
    <w:rsid w:val="00782C99"/>
    <w:rsid w:val="007C626E"/>
    <w:rsid w:val="007E2CEA"/>
    <w:rsid w:val="007F32D0"/>
    <w:rsid w:val="00843E71"/>
    <w:rsid w:val="00846616"/>
    <w:rsid w:val="008752FD"/>
    <w:rsid w:val="008A6D99"/>
    <w:rsid w:val="008C157A"/>
    <w:rsid w:val="008F0187"/>
    <w:rsid w:val="009035BA"/>
    <w:rsid w:val="00907796"/>
    <w:rsid w:val="00942603"/>
    <w:rsid w:val="0096028F"/>
    <w:rsid w:val="0099744C"/>
    <w:rsid w:val="009C0857"/>
    <w:rsid w:val="009C6198"/>
    <w:rsid w:val="00A04063"/>
    <w:rsid w:val="00A2137B"/>
    <w:rsid w:val="00A9706D"/>
    <w:rsid w:val="00AC3B0D"/>
    <w:rsid w:val="00AC56F8"/>
    <w:rsid w:val="00AE39A0"/>
    <w:rsid w:val="00AE7CAF"/>
    <w:rsid w:val="00AF262E"/>
    <w:rsid w:val="00B127E0"/>
    <w:rsid w:val="00B17644"/>
    <w:rsid w:val="00B66222"/>
    <w:rsid w:val="00B81AEF"/>
    <w:rsid w:val="00BA582F"/>
    <w:rsid w:val="00BB162A"/>
    <w:rsid w:val="00BE5A0C"/>
    <w:rsid w:val="00C117E5"/>
    <w:rsid w:val="00C91D41"/>
    <w:rsid w:val="00C92F64"/>
    <w:rsid w:val="00CA4E1E"/>
    <w:rsid w:val="00D05A1C"/>
    <w:rsid w:val="00D15954"/>
    <w:rsid w:val="00DA4D54"/>
    <w:rsid w:val="00DC05BF"/>
    <w:rsid w:val="00DC5511"/>
    <w:rsid w:val="00DD7F3E"/>
    <w:rsid w:val="00E5025A"/>
    <w:rsid w:val="00E65E89"/>
    <w:rsid w:val="00E72E1E"/>
    <w:rsid w:val="00E7576A"/>
    <w:rsid w:val="00EA6693"/>
    <w:rsid w:val="00EB23BD"/>
    <w:rsid w:val="00EE44B2"/>
    <w:rsid w:val="00F02589"/>
    <w:rsid w:val="00F068E3"/>
    <w:rsid w:val="00F23808"/>
    <w:rsid w:val="00F54FE8"/>
    <w:rsid w:val="00F830A1"/>
    <w:rsid w:val="00F83503"/>
    <w:rsid w:val="00F90952"/>
    <w:rsid w:val="00FC7153"/>
    <w:rsid w:val="00FD45A2"/>
    <w:rsid w:val="00FE023A"/>
    <w:rsid w:val="01184FCB"/>
    <w:rsid w:val="02046C23"/>
    <w:rsid w:val="032B1CF7"/>
    <w:rsid w:val="03374B56"/>
    <w:rsid w:val="038F2DB2"/>
    <w:rsid w:val="040E3660"/>
    <w:rsid w:val="04BF18E7"/>
    <w:rsid w:val="05C829F4"/>
    <w:rsid w:val="05FC297A"/>
    <w:rsid w:val="06DE7885"/>
    <w:rsid w:val="0711022B"/>
    <w:rsid w:val="07D63446"/>
    <w:rsid w:val="07FB5DAB"/>
    <w:rsid w:val="094534C1"/>
    <w:rsid w:val="0971048E"/>
    <w:rsid w:val="0A0D50B2"/>
    <w:rsid w:val="0AA13901"/>
    <w:rsid w:val="0B0F1992"/>
    <w:rsid w:val="0BA06E5B"/>
    <w:rsid w:val="0ED70304"/>
    <w:rsid w:val="0F2D30CD"/>
    <w:rsid w:val="0F7C0FF0"/>
    <w:rsid w:val="0FAA5CBE"/>
    <w:rsid w:val="11DD38F7"/>
    <w:rsid w:val="123F43D1"/>
    <w:rsid w:val="13216855"/>
    <w:rsid w:val="13915A94"/>
    <w:rsid w:val="139B6FCE"/>
    <w:rsid w:val="13CD6F7F"/>
    <w:rsid w:val="141132DB"/>
    <w:rsid w:val="14701323"/>
    <w:rsid w:val="147D4BE8"/>
    <w:rsid w:val="14D46723"/>
    <w:rsid w:val="15E021A1"/>
    <w:rsid w:val="16683627"/>
    <w:rsid w:val="167D08D6"/>
    <w:rsid w:val="172C3EBA"/>
    <w:rsid w:val="182C4ECB"/>
    <w:rsid w:val="18593C69"/>
    <w:rsid w:val="187C5F8F"/>
    <w:rsid w:val="1A570FC2"/>
    <w:rsid w:val="1ADB67D3"/>
    <w:rsid w:val="1B043ACA"/>
    <w:rsid w:val="1B1505A2"/>
    <w:rsid w:val="1B1A34F1"/>
    <w:rsid w:val="1B3671F1"/>
    <w:rsid w:val="1B9146FD"/>
    <w:rsid w:val="1BDB0990"/>
    <w:rsid w:val="1C6A22A6"/>
    <w:rsid w:val="1D055794"/>
    <w:rsid w:val="1D102557"/>
    <w:rsid w:val="1D750A42"/>
    <w:rsid w:val="1D7F6BC9"/>
    <w:rsid w:val="1D8B01E1"/>
    <w:rsid w:val="1F6B4E48"/>
    <w:rsid w:val="1F797C41"/>
    <w:rsid w:val="1F8E1484"/>
    <w:rsid w:val="1FCA390D"/>
    <w:rsid w:val="1FE40502"/>
    <w:rsid w:val="1FEB23AF"/>
    <w:rsid w:val="1FEE00A8"/>
    <w:rsid w:val="20673BCD"/>
    <w:rsid w:val="210504D8"/>
    <w:rsid w:val="213D19F8"/>
    <w:rsid w:val="21515531"/>
    <w:rsid w:val="21720F71"/>
    <w:rsid w:val="218859D7"/>
    <w:rsid w:val="228B7BFD"/>
    <w:rsid w:val="22EA0E78"/>
    <w:rsid w:val="231236FB"/>
    <w:rsid w:val="23424A80"/>
    <w:rsid w:val="2495409E"/>
    <w:rsid w:val="24A27103"/>
    <w:rsid w:val="24BC35A2"/>
    <w:rsid w:val="26400D51"/>
    <w:rsid w:val="26FE2523"/>
    <w:rsid w:val="272A19CC"/>
    <w:rsid w:val="279041C8"/>
    <w:rsid w:val="27E05021"/>
    <w:rsid w:val="28A83AC9"/>
    <w:rsid w:val="28DA0E68"/>
    <w:rsid w:val="28FC2D98"/>
    <w:rsid w:val="299E1D5D"/>
    <w:rsid w:val="29D13499"/>
    <w:rsid w:val="2A355ADC"/>
    <w:rsid w:val="2A3C5B61"/>
    <w:rsid w:val="2B875BE6"/>
    <w:rsid w:val="2B8C06DE"/>
    <w:rsid w:val="2BA16A9B"/>
    <w:rsid w:val="2C2036F0"/>
    <w:rsid w:val="2C700460"/>
    <w:rsid w:val="2CC809E6"/>
    <w:rsid w:val="2D472FD9"/>
    <w:rsid w:val="2D753458"/>
    <w:rsid w:val="2D820380"/>
    <w:rsid w:val="2DBF3A34"/>
    <w:rsid w:val="2DC025E7"/>
    <w:rsid w:val="2E007A14"/>
    <w:rsid w:val="2E39202A"/>
    <w:rsid w:val="2E966B74"/>
    <w:rsid w:val="2EBB1542"/>
    <w:rsid w:val="2F3177FF"/>
    <w:rsid w:val="2F384FB3"/>
    <w:rsid w:val="31115F9A"/>
    <w:rsid w:val="31425768"/>
    <w:rsid w:val="318372AC"/>
    <w:rsid w:val="32EC396A"/>
    <w:rsid w:val="34AC4CFA"/>
    <w:rsid w:val="353265C3"/>
    <w:rsid w:val="356C3534"/>
    <w:rsid w:val="37A64EBC"/>
    <w:rsid w:val="37B3258B"/>
    <w:rsid w:val="37F03892"/>
    <w:rsid w:val="390822EA"/>
    <w:rsid w:val="3A1E3928"/>
    <w:rsid w:val="3AD67805"/>
    <w:rsid w:val="3AF72094"/>
    <w:rsid w:val="3B3823DE"/>
    <w:rsid w:val="3B483C98"/>
    <w:rsid w:val="3C354513"/>
    <w:rsid w:val="3E463032"/>
    <w:rsid w:val="3F1570BF"/>
    <w:rsid w:val="402D0951"/>
    <w:rsid w:val="41E86EC8"/>
    <w:rsid w:val="42F82F26"/>
    <w:rsid w:val="436720E7"/>
    <w:rsid w:val="43BF3DC1"/>
    <w:rsid w:val="441349D5"/>
    <w:rsid w:val="44167B48"/>
    <w:rsid w:val="445A5A2D"/>
    <w:rsid w:val="44AF110D"/>
    <w:rsid w:val="44DF4A5B"/>
    <w:rsid w:val="45334668"/>
    <w:rsid w:val="4598468F"/>
    <w:rsid w:val="46633A58"/>
    <w:rsid w:val="47AD4A30"/>
    <w:rsid w:val="486F010E"/>
    <w:rsid w:val="48C20721"/>
    <w:rsid w:val="495424D3"/>
    <w:rsid w:val="4A9628AE"/>
    <w:rsid w:val="4B6C1B56"/>
    <w:rsid w:val="4DE77CBA"/>
    <w:rsid w:val="4DF65B01"/>
    <w:rsid w:val="4E14073A"/>
    <w:rsid w:val="4EE514F8"/>
    <w:rsid w:val="4EF06520"/>
    <w:rsid w:val="50841536"/>
    <w:rsid w:val="50995835"/>
    <w:rsid w:val="509F5C5D"/>
    <w:rsid w:val="51745485"/>
    <w:rsid w:val="52ED0B62"/>
    <w:rsid w:val="53F95178"/>
    <w:rsid w:val="54C90540"/>
    <w:rsid w:val="55D94358"/>
    <w:rsid w:val="5676095C"/>
    <w:rsid w:val="57842046"/>
    <w:rsid w:val="57FC1710"/>
    <w:rsid w:val="58063540"/>
    <w:rsid w:val="586F0F85"/>
    <w:rsid w:val="58E63DEC"/>
    <w:rsid w:val="59C927CA"/>
    <w:rsid w:val="5A0F57D7"/>
    <w:rsid w:val="5ABD35B0"/>
    <w:rsid w:val="5AD02DBB"/>
    <w:rsid w:val="5AD6269B"/>
    <w:rsid w:val="5B964D9A"/>
    <w:rsid w:val="5C1300B2"/>
    <w:rsid w:val="5CF01A0C"/>
    <w:rsid w:val="5E793C61"/>
    <w:rsid w:val="5E8D281B"/>
    <w:rsid w:val="5EC2102D"/>
    <w:rsid w:val="5F0D29A4"/>
    <w:rsid w:val="5F1478BE"/>
    <w:rsid w:val="5FA449BB"/>
    <w:rsid w:val="602F154C"/>
    <w:rsid w:val="608D5A18"/>
    <w:rsid w:val="60937D30"/>
    <w:rsid w:val="615407A5"/>
    <w:rsid w:val="61FC1BEE"/>
    <w:rsid w:val="62507390"/>
    <w:rsid w:val="64855E3E"/>
    <w:rsid w:val="661C5CBC"/>
    <w:rsid w:val="66216973"/>
    <w:rsid w:val="66ED24F4"/>
    <w:rsid w:val="677474F0"/>
    <w:rsid w:val="67824BB3"/>
    <w:rsid w:val="67B728AC"/>
    <w:rsid w:val="685E69C0"/>
    <w:rsid w:val="687830B4"/>
    <w:rsid w:val="689C5231"/>
    <w:rsid w:val="6A3F391E"/>
    <w:rsid w:val="6A5237E3"/>
    <w:rsid w:val="6B061CFD"/>
    <w:rsid w:val="6C4C29A9"/>
    <w:rsid w:val="6CDB5FBA"/>
    <w:rsid w:val="6E0C1D81"/>
    <w:rsid w:val="6EEB2EB9"/>
    <w:rsid w:val="6EF344FD"/>
    <w:rsid w:val="6F085447"/>
    <w:rsid w:val="6F0F691F"/>
    <w:rsid w:val="6FBD32F4"/>
    <w:rsid w:val="70193770"/>
    <w:rsid w:val="709A6C51"/>
    <w:rsid w:val="71CC48B2"/>
    <w:rsid w:val="71F66FB2"/>
    <w:rsid w:val="726E4E08"/>
    <w:rsid w:val="729A4D8E"/>
    <w:rsid w:val="72EE4E88"/>
    <w:rsid w:val="740630E3"/>
    <w:rsid w:val="74727EE2"/>
    <w:rsid w:val="74F32D5B"/>
    <w:rsid w:val="7518377D"/>
    <w:rsid w:val="75280E60"/>
    <w:rsid w:val="76795E65"/>
    <w:rsid w:val="76AC1E37"/>
    <w:rsid w:val="76E868A4"/>
    <w:rsid w:val="786344E5"/>
    <w:rsid w:val="79C70D0E"/>
    <w:rsid w:val="7A7A290E"/>
    <w:rsid w:val="7B552AE8"/>
    <w:rsid w:val="7BAB0A35"/>
    <w:rsid w:val="7C093FBA"/>
    <w:rsid w:val="7EE7740F"/>
    <w:rsid w:val="7F0B3038"/>
    <w:rsid w:val="7F2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5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link w:val="3"/>
    <w:semiHidden/>
    <w:qFormat/>
    <w:uiPriority w:val="0"/>
    <w:rPr>
      <w:sz w:val="18"/>
      <w:szCs w:val="18"/>
    </w:rPr>
  </w:style>
  <w:style w:type="character" w:customStyle="1" w:styleId="16">
    <w:name w:val="正文文本缩进 3 Char"/>
    <w:link w:val="6"/>
    <w:qFormat/>
    <w:uiPriority w:val="0"/>
    <w:rPr>
      <w:rFonts w:eastAsia="仿宋_GB2312"/>
      <w:sz w:val="32"/>
      <w:szCs w:val="24"/>
    </w:rPr>
  </w:style>
  <w:style w:type="paragraph" w:customStyle="1" w:styleId="17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8">
    <w:name w:val="正文文本缩进 3 字符1"/>
    <w:basedOn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批注框文本 字符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A429C-CE09-4ED5-895E-912BA0B5E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1868</Words>
  <Characters>10648</Characters>
  <Lines>88</Lines>
  <Paragraphs>24</Paragraphs>
  <TotalTime>0</TotalTime>
  <ScaleCrop>false</ScaleCrop>
  <LinksUpToDate>false</LinksUpToDate>
  <CharactersWithSpaces>12492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2021-01-31T05:55:00Z</dcterms:created>
  <dc:creator>薛理升</dc:creator>
  <cp:lastModifiedBy>Administrator</cp:lastModifiedBy>
  <cp:lastPrinted>2021-03-04T03:23:00Z</cp:lastPrinted>
  <dcterms:modified xsi:type="dcterms:W3CDTF">2021-03-04T03:57:38Z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