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kern w:val="0"/>
          <w:sz w:val="44"/>
          <w:szCs w:val="44"/>
        </w:rPr>
      </w:pPr>
      <w:bookmarkStart w:id="0" w:name="csmb"/>
      <w:r>
        <w:rPr>
          <w:rFonts w:hint="default" w:ascii="Times New Roman" w:hAnsi="Times New Roman" w:eastAsia="楷体_GB2312" w:cs="Times New Roman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default" w:ascii="Times New Roman" w:hAnsi="Times New Roman" w:eastAsia="楷体_GB2312" w:cs="Times New Roman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</w:p>
    <w:p>
      <w:pPr>
        <w:rPr>
          <w:rFonts w:hint="default" w:ascii="Times New Roman" w:hAnsi="Times New Roman" w:cs="Times New Roman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克孜勒苏柯尔克孜自治州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机关事务服务中心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2021年预算公开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widowControl/>
        <w:spacing w:line="440" w:lineRule="exact"/>
        <w:jc w:val="center"/>
        <w:outlineLvl w:val="1"/>
        <w:rPr>
          <w:rFonts w:hint="default" w:ascii="Times New Roman" w:hAnsi="Times New Roman" w:eastAsia="黑体" w:cs="Times New Roman"/>
          <w:kern w:val="0"/>
          <w:sz w:val="36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widowControl/>
        <w:spacing w:line="440" w:lineRule="exact"/>
        <w:jc w:val="center"/>
        <w:outlineLvl w:val="1"/>
        <w:rPr>
          <w:rFonts w:hint="default" w:ascii="Times New Roman" w:hAnsi="Times New Roman" w:eastAsia="黑体" w:cs="Times New Roman"/>
          <w:kern w:val="0"/>
          <w:sz w:val="36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hint="default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 xml:space="preserve">第一部分  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（单位）概况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 xml:space="preserve">第二部分 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2021年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七、一般公共预算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第三部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2021年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一、关于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二、关于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三、关于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四、关于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五、关于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六、关于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七、关于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八、关于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九、关于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第四部分  名词解释</w:t>
      </w:r>
    </w:p>
    <w:p>
      <w:pPr>
        <w:pStyle w:val="2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widowControl/>
        <w:jc w:val="center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 xml:space="preserve">第一部分   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hint="default" w:ascii="Times New Roman" w:hAnsi="Times New Roman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　  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一、主要职能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（一）监督指导全州机关事务系统管理、保障、服务和体制改革的职责。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（二）负责州级机关事务的管理、保障、服务工作。根据自治区和自治州有关政策、规章制度，拟定自治州机关事务管理工作的规划和规章制度并组织实施。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负责自治州本级办公用房、统管房、周转房资产管理有关工作；负责自治州本级党政机关办公用房和公务用车统一管理；指导监督县（市）党政机关办公用房和公务用车管理；负责做好自治州本级党政机关用地管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负责自治州本级机关及部分事业单位公产房屋的资产和建设管理，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编制基建计划，制定相应管理制度；承担自治州厅级领导住宅和家属院的建设、维修管理；审批房屋修缮项目和分配房屋修缮经费；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对自治州四套班子国有资产行使资产所有者代表的职能；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落实自治区和自治州机关住房制度改革等工作；负责州级机关周转房的管理工作。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（五）落实自治区和自治州机关后勤体制改革政策，拟订办法并组织实施；负责州级机关工作区、住宅区的规划、道路布局、环境秩序、绿化、美化、卫生管理及水、电、暖、气、照的供应及修缮工作。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负责自治州本级机关、事业单位、社会团体有关节能降耗工作；会同有关部门制定自治州本级公共机构节能规划、规章制度并组织实施；组织开展能耗统计、监测和评价考核工作；负责推进、指导、协调、监督县（市）公共机构节能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（七）负责自治州机关（工作区、住宅区）安全保卫和综合治理工作。</w:t>
      </w:r>
    </w:p>
    <w:p>
      <w:pPr>
        <w:snapToGrid w:val="0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（八）承办自治州党委、人民政府交办的其他事项。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bCs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 xml:space="preserve">　  </w:t>
      </w:r>
      <w:r>
        <w:rPr>
          <w:rFonts w:hint="default" w:ascii="Times New Roman" w:hAnsi="Times New Roman" w:eastAsia="黑体" w:cs="Times New Roman"/>
          <w:bCs/>
          <w:kern w:val="0"/>
          <w:sz w:val="30"/>
          <w:szCs w:val="30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无下属预算单位，下设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个科室，分别是：</w:t>
      </w:r>
      <w:r>
        <w:rPr>
          <w:rFonts w:hint="default" w:ascii="Times New Roman" w:hAnsi="Times New Roman" w:eastAsia="仿宋" w:cs="Times New Roman"/>
          <w:sz w:val="32"/>
          <w:szCs w:val="32"/>
        </w:rPr>
        <w:t>办公室、房产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" w:cs="Times New Roman"/>
          <w:sz w:val="32"/>
          <w:szCs w:val="32"/>
        </w:rPr>
        <w:t>科、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公共资产基建</w:t>
      </w:r>
      <w:r>
        <w:rPr>
          <w:rFonts w:hint="default" w:ascii="Times New Roman" w:hAnsi="Times New Roman" w:eastAsia="仿宋" w:cs="Times New Roman"/>
          <w:sz w:val="32"/>
          <w:szCs w:val="32"/>
        </w:rPr>
        <w:t>科、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规划财务科、公务用车管理科、公共机构节能科、</w:t>
      </w:r>
      <w:r>
        <w:rPr>
          <w:rFonts w:hint="default" w:ascii="Times New Roman" w:hAnsi="Times New Roman" w:eastAsia="仿宋" w:cs="Times New Roman"/>
          <w:sz w:val="32"/>
          <w:szCs w:val="32"/>
        </w:rPr>
        <w:t>物业科、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安全</w:t>
      </w:r>
      <w:r>
        <w:rPr>
          <w:rFonts w:hint="default" w:ascii="Times New Roman" w:hAnsi="Times New Roman" w:eastAsia="仿宋" w:cs="Times New Roman"/>
          <w:sz w:val="32"/>
          <w:szCs w:val="32"/>
        </w:rPr>
        <w:t>保卫科。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单位编制数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人，实有人数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人，其中：在职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人，减少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人； 退休2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人，增加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人；离休0人，增加0人。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kern w:val="0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1年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克孜勒苏柯尔克孜自治州机关事务服务中心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预算公开表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表一：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部门（单位）收支总体情况表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编制部门（单位）：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    单位：万元</w:t>
      </w:r>
    </w:p>
    <w:tbl>
      <w:tblPr>
        <w:tblStyle w:val="8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1015.13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1057.13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  <w:t>国有资本经营预算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上级专项收入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222 粮油物资管理支出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1057.13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1057.13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表二：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部门（单位）收入总体情况表</w:t>
      </w:r>
    </w:p>
    <w:p>
      <w:pPr>
        <w:widowControl/>
        <w:spacing w:before="100" w:beforeAutospacing="1" w:after="100" w:afterAutospacing="1" w:line="280" w:lineRule="exact"/>
        <w:outlineLvl w:val="1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编制部门（单位）：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 </w:t>
      </w:r>
      <w:r>
        <w:rPr>
          <w:rFonts w:hint="eastAsia" w:eastAsia="仿宋_GB2312" w:cs="Times New Roman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  单位：万元</w:t>
      </w:r>
    </w:p>
    <w:tbl>
      <w:tblPr>
        <w:tblStyle w:val="8"/>
        <w:tblW w:w="10456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10"/>
        <w:gridCol w:w="585"/>
        <w:gridCol w:w="1875"/>
        <w:gridCol w:w="915"/>
        <w:gridCol w:w="1005"/>
        <w:gridCol w:w="450"/>
        <w:gridCol w:w="555"/>
        <w:gridCol w:w="555"/>
        <w:gridCol w:w="315"/>
        <w:gridCol w:w="495"/>
        <w:gridCol w:w="540"/>
        <w:gridCol w:w="495"/>
        <w:gridCol w:w="555"/>
        <w:gridCol w:w="410"/>
        <w:gridCol w:w="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编码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  <w:t>经营预算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事业收入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1057.13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1015.13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17</w:t>
            </w:r>
            <w:r>
              <w:rPr>
                <w:rFonts w:hint="eastAsia" w:eastAsia="仿宋_GB2312" w:cs="Times New Roman"/>
                <w:color w:val="000000"/>
                <w:sz w:val="15"/>
                <w:szCs w:val="15"/>
                <w:lang w:val="en-US" w:eastAsia="zh-CN"/>
              </w:rPr>
              <w:t>.00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25</w:t>
            </w:r>
            <w:r>
              <w:rPr>
                <w:rFonts w:hint="eastAsia" w:eastAsia="仿宋_GB2312" w:cs="Times New Roman"/>
                <w:color w:val="000000"/>
                <w:sz w:val="15"/>
                <w:szCs w:val="15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13"/>
                <w:szCs w:val="13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政府办公厅（室）及相关机构事务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1057.13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1015.13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17</w:t>
            </w:r>
            <w:r>
              <w:rPr>
                <w:rFonts w:hint="eastAsia" w:eastAsia="仿宋_GB2312" w:cs="Times New Roman"/>
                <w:color w:val="000000"/>
                <w:sz w:val="15"/>
                <w:szCs w:val="15"/>
                <w:lang w:val="en-US" w:eastAsia="zh-CN"/>
              </w:rPr>
              <w:t>.00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25</w:t>
            </w:r>
            <w:r>
              <w:rPr>
                <w:rFonts w:hint="eastAsia" w:eastAsia="仿宋_GB2312" w:cs="Times New Roman"/>
                <w:color w:val="000000"/>
                <w:sz w:val="15"/>
                <w:szCs w:val="15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13"/>
                <w:szCs w:val="13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  <w:lang w:eastAsia="zh-CN"/>
              </w:rPr>
              <w:t>机关服务（政府办公厅（室）及相关机构事务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1057.13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1015.13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17</w:t>
            </w:r>
            <w:r>
              <w:rPr>
                <w:rFonts w:hint="eastAsia" w:eastAsia="仿宋_GB2312" w:cs="Times New Roman"/>
                <w:color w:val="000000"/>
                <w:sz w:val="15"/>
                <w:szCs w:val="15"/>
                <w:lang w:val="en-US" w:eastAsia="zh-CN"/>
              </w:rPr>
              <w:t>.00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25</w:t>
            </w:r>
            <w:r>
              <w:rPr>
                <w:rFonts w:hint="eastAsia" w:eastAsia="仿宋_GB2312" w:cs="Times New Roman"/>
                <w:color w:val="000000"/>
                <w:sz w:val="15"/>
                <w:szCs w:val="15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1057.13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1015.13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17</w:t>
            </w:r>
            <w:r>
              <w:rPr>
                <w:rFonts w:hint="eastAsia" w:eastAsia="仿宋_GB2312" w:cs="Times New Roman"/>
                <w:color w:val="000000"/>
                <w:sz w:val="15"/>
                <w:szCs w:val="15"/>
                <w:lang w:val="en-US" w:eastAsia="zh-CN"/>
              </w:rPr>
              <w:t>.00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25</w:t>
            </w:r>
            <w:r>
              <w:rPr>
                <w:rFonts w:hint="eastAsia" w:eastAsia="仿宋_GB2312" w:cs="Times New Roman"/>
                <w:color w:val="000000"/>
                <w:sz w:val="15"/>
                <w:szCs w:val="15"/>
                <w:lang w:val="en-US" w:eastAsia="zh-CN"/>
              </w:rPr>
              <w:t>.00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表三：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部门（单位）支出总体情况表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before="100" w:beforeAutospacing="1" w:after="100" w:afterAutospacing="1" w:line="280" w:lineRule="exact"/>
        <w:outlineLvl w:val="1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编制部门（单位）：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    单位：万元</w:t>
      </w: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                                  </w:t>
      </w:r>
    </w:p>
    <w:tbl>
      <w:tblPr>
        <w:tblStyle w:val="8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20"/>
        <w:gridCol w:w="420"/>
        <w:gridCol w:w="2492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4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1057.13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678.13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379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eastAsia="仿宋_GB2312" w:cs="Times New Roman"/>
                <w:color w:val="000000"/>
                <w:sz w:val="15"/>
                <w:szCs w:val="15"/>
                <w:lang w:val="en-US" w:eastAsia="zh-CN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eastAsia="仿宋_GB2312" w:cs="Times New Roman"/>
                <w:color w:val="000000"/>
                <w:sz w:val="15"/>
                <w:szCs w:val="15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政府办公厅（室）及相关机构事务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1057.13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678.13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379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eastAsia="仿宋_GB2312" w:cs="Times New Roman"/>
                <w:color w:val="000000"/>
                <w:sz w:val="15"/>
                <w:szCs w:val="15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机关服务（政府办公厅（室）及相关机构事务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1057.13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678.13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379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1057.13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678.13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379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.00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60" w:lineRule="exac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表四：</w:t>
      </w:r>
      <w:r>
        <w:rPr>
          <w:rFonts w:hint="eastAsia" w:eastAsia="仿宋_GB2312" w:cs="Times New Roman"/>
          <w:b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00" w:beforeAutospacing="1" w:after="100" w:afterAutospacing="1" w:line="280" w:lineRule="exact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编制部门（单位）：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    单位：万元</w:t>
      </w:r>
    </w:p>
    <w:tbl>
      <w:tblPr>
        <w:tblStyle w:val="8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090"/>
        <w:gridCol w:w="2580"/>
        <w:gridCol w:w="1034"/>
        <w:gridCol w:w="914"/>
        <w:gridCol w:w="1050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0"/>
                <w:szCs w:val="20"/>
                <w:highlight w:val="none"/>
              </w:rPr>
              <w:t>国有资本经营预算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1015.13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1015.13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1015.13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1015.13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  <w:t>国有资本经营预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eastAsia="zh-CN"/>
              </w:rPr>
              <w:t>算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  <w:t>算预算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210 卫生健康支出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1015.13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1015.13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1015.13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表五：</w:t>
      </w:r>
    </w:p>
    <w:tbl>
      <w:tblPr>
        <w:tblStyle w:val="8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1684"/>
        <w:gridCol w:w="184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一般公共预算支出情况表</w:t>
            </w:r>
          </w:p>
          <w:p>
            <w:pPr>
              <w:widowControl/>
              <w:spacing w:before="100" w:beforeAutospacing="1" w:after="100" w:afterAutospacing="1" w:line="280" w:lineRule="exact"/>
              <w:outlineLvl w:val="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编制部门（单位）：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克孜勒苏柯尔克孜自治州机关事务服务中心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201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一般公共服务支出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1015.13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653.13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362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201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03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政府办公厅（室）及相关机构事务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1015.13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653.13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362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201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03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机关服务（政府办公厅（室）及相关机构事务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1015.13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653.13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362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1015.13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lang w:val="en-US" w:eastAsia="zh-CN"/>
              </w:rPr>
              <w:t>653.13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362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.00</w:t>
            </w:r>
          </w:p>
        </w:tc>
      </w:tr>
    </w:tbl>
    <w:p>
      <w:pPr>
        <w:widowControl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表六：</w:t>
      </w:r>
    </w:p>
    <w:tbl>
      <w:tblPr>
        <w:tblStyle w:val="8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917"/>
        <w:gridCol w:w="2551"/>
        <w:gridCol w:w="1701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一般公共预算基本支出情况表</w:t>
            </w:r>
          </w:p>
          <w:p>
            <w:pPr>
              <w:widowControl/>
              <w:spacing w:before="100" w:beforeAutospacing="1" w:after="100" w:afterAutospacing="1" w:line="280" w:lineRule="exact"/>
              <w:outlineLvl w:val="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编制部门（单位）：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克孜勒苏柯尔克孜自治州机关事务服务中心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5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138.23</w:t>
            </w:r>
          </w:p>
        </w:tc>
      </w:tr>
    </w:tbl>
    <w:p>
      <w:pPr>
        <w:widowControl/>
        <w:jc w:val="left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表七：</w:t>
      </w:r>
    </w:p>
    <w:tbl>
      <w:tblPr>
        <w:tblStyle w:val="8"/>
        <w:tblW w:w="9543" w:type="dxa"/>
        <w:tblInd w:w="-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"/>
        <w:gridCol w:w="531"/>
        <w:gridCol w:w="504"/>
        <w:gridCol w:w="426"/>
        <w:gridCol w:w="1796"/>
        <w:gridCol w:w="818"/>
        <w:gridCol w:w="682"/>
        <w:gridCol w:w="313"/>
        <w:gridCol w:w="778"/>
        <w:gridCol w:w="341"/>
        <w:gridCol w:w="627"/>
        <w:gridCol w:w="598"/>
        <w:gridCol w:w="343"/>
        <w:gridCol w:w="613"/>
        <w:gridCol w:w="410"/>
        <w:gridCol w:w="381"/>
        <w:gridCol w:w="289"/>
        <w:gridCol w:w="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375" w:hRule="atLeast"/>
        </w:trPr>
        <w:tc>
          <w:tcPr>
            <w:tcW w:w="945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一般公共预算项目支出情况表</w:t>
            </w:r>
          </w:p>
          <w:p>
            <w:pPr>
              <w:widowControl/>
              <w:spacing w:before="100" w:beforeAutospacing="1" w:after="100" w:afterAutospacing="1" w:line="280" w:lineRule="exact"/>
              <w:outlineLvl w:val="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编制部门（单位）：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克孜勒苏柯尔克孜自治州机关事务服务中心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630" w:hRule="atLeast"/>
        </w:trPr>
        <w:tc>
          <w:tcPr>
            <w:tcW w:w="1461" w:type="dxa"/>
            <w:gridSpan w:val="3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796" w:type="dxa"/>
            <w:vMerge w:val="restart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818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项目名称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13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41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9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343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1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381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79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3646" w:hRule="atLeast"/>
        </w:trPr>
        <w:tc>
          <w:tcPr>
            <w:tcW w:w="53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50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7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1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1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567" w:hRule="exact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81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362.00</w:t>
            </w:r>
          </w:p>
        </w:tc>
        <w:tc>
          <w:tcPr>
            <w:tcW w:w="31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362.00</w:t>
            </w:r>
          </w:p>
        </w:tc>
        <w:tc>
          <w:tcPr>
            <w:tcW w:w="34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598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4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61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8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794" w:hRule="exact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政府办公厅（室）及相关机构事务</w:t>
            </w:r>
          </w:p>
        </w:tc>
        <w:tc>
          <w:tcPr>
            <w:tcW w:w="818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362.00</w:t>
            </w:r>
          </w:p>
        </w:tc>
        <w:tc>
          <w:tcPr>
            <w:tcW w:w="313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362.00</w:t>
            </w:r>
          </w:p>
        </w:tc>
        <w:tc>
          <w:tcPr>
            <w:tcW w:w="34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598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4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61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8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794" w:hRule="exact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机关服务（政府办公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厅（室）及相关机构事务）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群众工作经费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7.00</w:t>
            </w:r>
          </w:p>
        </w:tc>
        <w:tc>
          <w:tcPr>
            <w:tcW w:w="313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7.00</w:t>
            </w:r>
          </w:p>
        </w:tc>
        <w:tc>
          <w:tcPr>
            <w:tcW w:w="34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627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598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4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61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8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794" w:hRule="exact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机关服务（政府办公厅（室）及相关机构事务）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电费及零星维修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90.00</w:t>
            </w:r>
          </w:p>
        </w:tc>
        <w:tc>
          <w:tcPr>
            <w:tcW w:w="313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90.00</w:t>
            </w:r>
          </w:p>
        </w:tc>
        <w:tc>
          <w:tcPr>
            <w:tcW w:w="34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627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598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4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61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8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794" w:hRule="exact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机关服务（政府办公厅（室）及相关机构事务）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水费及零星维修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50.00</w:t>
            </w:r>
          </w:p>
        </w:tc>
        <w:tc>
          <w:tcPr>
            <w:tcW w:w="313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50.00</w:t>
            </w:r>
          </w:p>
        </w:tc>
        <w:tc>
          <w:tcPr>
            <w:tcW w:w="34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627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598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4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61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8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794" w:hRule="exact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机关服务（政府办公厅（室）及相关机构事务）</w:t>
            </w:r>
          </w:p>
        </w:tc>
        <w:tc>
          <w:tcPr>
            <w:tcW w:w="818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机关食堂补助</w:t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.00</w:t>
            </w:r>
          </w:p>
        </w:tc>
        <w:tc>
          <w:tcPr>
            <w:tcW w:w="313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.00</w:t>
            </w:r>
          </w:p>
        </w:tc>
        <w:tc>
          <w:tcPr>
            <w:tcW w:w="34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627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598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4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61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8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794" w:hRule="exact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机关服务（政府办公厅（室）及相关机构事务）</w:t>
            </w:r>
          </w:p>
        </w:tc>
        <w:tc>
          <w:tcPr>
            <w:tcW w:w="818" w:type="dxa"/>
            <w:vAlign w:val="top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机关车队运行经费</w:t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.00</w:t>
            </w:r>
          </w:p>
        </w:tc>
        <w:tc>
          <w:tcPr>
            <w:tcW w:w="313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.00</w:t>
            </w:r>
          </w:p>
        </w:tc>
        <w:tc>
          <w:tcPr>
            <w:tcW w:w="34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627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598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4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61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8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567" w:hRule="exact"/>
        </w:trPr>
        <w:tc>
          <w:tcPr>
            <w:tcW w:w="53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504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796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362.00</w:t>
            </w:r>
          </w:p>
        </w:tc>
        <w:tc>
          <w:tcPr>
            <w:tcW w:w="313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362.00</w:t>
            </w:r>
          </w:p>
        </w:tc>
        <w:tc>
          <w:tcPr>
            <w:tcW w:w="341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627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598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4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613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81" w:type="dxa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widowControl/>
        <w:jc w:val="left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280" w:lineRule="exact"/>
        <w:outlineLvl w:val="1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编制部门（单位）：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    单位：万元</w:t>
      </w:r>
    </w:p>
    <w:tbl>
      <w:tblPr>
        <w:tblStyle w:val="8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42"/>
        <w:gridCol w:w="1435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表九：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政府性基金预算支出情况表</w:t>
      </w:r>
    </w:p>
    <w:p>
      <w:pPr>
        <w:widowControl/>
        <w:spacing w:before="100" w:beforeAutospacing="1" w:after="100" w:afterAutospacing="1" w:line="280" w:lineRule="exact"/>
        <w:outlineLvl w:val="1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编制部门（单位）：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    单位：万元</w:t>
      </w:r>
    </w:p>
    <w:tbl>
      <w:tblPr>
        <w:tblStyle w:val="8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outlineLvl w:val="1"/>
        <w:rPr>
          <w:rFonts w:hint="default" w:ascii="Times New Roman" w:hAnsi="Times New Roman" w:eastAsia="仿宋_GB2312" w:cs="Times New Roman"/>
          <w:b/>
          <w:kern w:val="0"/>
          <w:sz w:val="28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32"/>
        </w:rPr>
        <w:t>备注：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32"/>
          <w:lang w:eastAsia="zh-CN"/>
        </w:rPr>
        <w:t>克孜勒苏柯尔克孜自治州机关事务服务中心无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32"/>
        </w:rPr>
        <w:t>政府性基金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32"/>
          <w:lang w:eastAsia="zh-CN"/>
        </w:rPr>
        <w:t>预算拨款情况说明支出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32"/>
        </w:rPr>
        <w:t>。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 xml:space="preserve">第三部分 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预算情况说明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关于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2021年收支预算情况的总体说明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按照全口径预算的原则，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2021年所有收入和支出均纳入部门（单位）预算管理。收支总预算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1057.13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收入预算包括：一般公共预算、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上级专项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收入。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支出预算包括：一般公共服务支出。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二、关于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2021年收入预算情况说明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收入预算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1057.13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万元，其中：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一般公共预算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1015.13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96.03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%，比上年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预算增加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75.6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万元，主要原因是2021年度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增加机关食堂补助经费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30万元，机关车队运行经费35万元。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 xml:space="preserve">国有资本经营预算未安排。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上级转项收入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1.61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%，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与上年持平。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三、关于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2021年支出预算情况说明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2021年支出预算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1057.13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基本支出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678.13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64.15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%，比上年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预算增加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10.6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万元，主要原因是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人员经费的增加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项目支出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362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34.25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%，比上年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预算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万元，主要原因2021年度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机关食堂补助经费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及机关车队运行经费的增加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。         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四、关于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2021年财政拨款收支预算情况的总体说明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2021年财政拨款收支总预算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1015.13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</w:rPr>
        <w:t>收入全部为一般公共预算拨款，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无政府性基金预算拨款和国有资本经营预算。</w:t>
      </w:r>
    </w:p>
    <w:p>
      <w:pPr>
        <w:spacing w:line="560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 xml:space="preserve">收入预算包括：一般公共预算拨款 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1015.13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万元。</w:t>
      </w:r>
    </w:p>
    <w:p>
      <w:pPr>
        <w:spacing w:line="560" w:lineRule="exact"/>
        <w:ind w:firstLine="616" w:firstLineChars="200"/>
        <w:rPr>
          <w:rFonts w:hint="default" w:ascii="Times New Roman" w:hAnsi="Times New Roman" w:eastAsia="仿宋_GB2312" w:cs="Times New Roman"/>
          <w:b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一般公共预算支出包括：一般公共服务支出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1015.13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万元，主要用于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人员经费及公用经费支出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五、关于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2021年一般公共预算当年拨款情况说明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克孜勒苏柯尔克孜自治州机关事务服务中心202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1年一般公共预算拨款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合计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1015.13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其中：基本支出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653.13万元，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比上年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预算增加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10.6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1.62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%。主要原因是：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人员经费的增加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。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项目支出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362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万元，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比上年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预算增加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17.95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%。主要原因是：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机关食堂补助经费及机关车队运行经费的增加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。   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1.一般公共服务201030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（类）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1057.13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1.一般公共服务（类：201 ）财政事务（款： 03 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机关服务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（项：0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）:2021年预算数为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1057.13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万元，比上年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预算增加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100.6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9.52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%。主要原因是：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人员经费及机关食堂补助经费、机关车队运行经费的增加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。    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六、关于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2021年一般公共预算基本支出情况说明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2021年一般公共预算基本支出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653.13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人员经费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514.90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万元，主要包括：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基本工资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148.12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；津贴补贴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189.07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万元、奖金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12.34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万元、机关事业单位基本养老保险缴费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54.02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其他社会保障缴费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37.38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万元、住房公积金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35.4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奖励金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1.16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退休费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17.54万元、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其他对个人和家庭的补助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19.88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公用经费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138.23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万元，主要包括：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办公用品及设备采购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4万元、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办公费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2.38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、邮电费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3.5万元、工会经费2.11万元、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福利费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3.79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公务用车运行维护费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4万元、取暖费118.45万元。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七、关于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2021年一般公共预算项目支出情况说明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项目名称1：水费及零星维修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设立的政策依据：州政府文件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预算安排规模：50万元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项目承担单位：克孜勒苏柯尔克孜自治州机关事务服务中心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资金分配情况：州机关大院及行政服务中心水费20万元及自来水管道维修及材料采购30万元。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资金执行时间：2021年1月1日-2021年12月31日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项目名称2：电费及零星维修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设立的政策依据：州政府文件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预算安排规模：90万元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项目承担单位：克孜勒苏柯尔克孜自治州机关事务服务中心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资金分配情况：州机关大院及行政服务中心电费80万元及线路维修及材料采购10万元。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资金执行时间：2021年1月1日-2021年12月31日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项目名称3：机关食堂补助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设立的政策依据：州政府文件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预算安排规模：180万元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项目承担单位：克孜勒苏柯尔克孜自治州机关事务服务中心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资金分配情况：机关食堂聘用人员工资60万元、购买副食品120万元。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资金执行时间：2021年1月1日-2021年12月31日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项目名称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：机关车队运行经费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设立的政策依据：州政府文件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预算安排规模：35万元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项目承担单位：克孜勒苏柯尔克孜自治州机关事务服务中心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资金分配情况：车队运行维护费</w:t>
      </w:r>
    </w:p>
    <w:p>
      <w:p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资金执行时间：2021年1月1日-2021年12月31日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项目名称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：群众工作经费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设立的政策依据：州政府文件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预算安排规模：7万元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项目承担单位：克孜勒苏柯尔克孜自治州机关事务服务中心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资金分配情况：群众点办公用品及设备购置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资金执行时间：2021年1月1日-2021年12月31日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情况二：（属于对个人补贴的项目支出按下列内容说明）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项目名称：无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设立的政策依据：无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预算安排规模：无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项目承担单位：无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资金分配情况：无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资金执行时间：无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资金来源：无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补贴人数：无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补贴标准：无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补贴范围：无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补贴方式：无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发放程序：无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受益人群和社会效益：无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八、关于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2021年一般公共预算“三公”经费预算情况说明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克孜勒苏柯尔克孜自治州机关事务服务中心2021年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一般公共预算“三公”经费数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为4万元，其中：因公出国（境）费0万元，公务用车购置0万元，公务用车运行费4万元，公务接待费0万元。</w:t>
      </w:r>
    </w:p>
    <w:p>
      <w:p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一般公共预算“三公”经费比上年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减少1万元，其中：因公出国（境）费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增加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0万元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，主要原因是财政预算未安排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；公务用车购置费为0万元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未安排预算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；公务用车运行费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增加0万元，主要原因是压缩单位车辆油费开支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；公务接待费减少1万元，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主要原因是减少接待人数及次数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九、关于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克孜勒苏柯尔克孜自治州机关事务服务中心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2021年政府性基金预算拨款情况说明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克孜勒苏柯尔克孜自治州机关事务服务中心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克孜勒苏柯尔克孜自治州机关事务服务中心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val="en-US" w:eastAsia="zh-CN"/>
        </w:rPr>
        <w:t>138.23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万元，比上年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预算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eastAsia="zh-CN"/>
        </w:rPr>
        <w:t>减少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val="en-US" w:eastAsia="zh-CN"/>
        </w:rPr>
        <w:t>0.27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万元，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eastAsia="zh-CN"/>
        </w:rPr>
        <w:t>下降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val="en-US" w:eastAsia="zh-CN"/>
        </w:rPr>
        <w:t>0.2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%，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主要原因是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eastAsia="zh-CN"/>
        </w:rPr>
        <w:t>工会经费及福利费的减少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bookmarkStart w:id="2" w:name="_GoBack"/>
      <w:bookmarkEnd w:id="2"/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2021年，本单位政府采购预算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268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万元，其中：政府采购货物预算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万元，政府采购工程预算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万元，政府采购服务预算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</w:rPr>
        <w:t>2021年度本单位面向中小企业预留政府采购项目预算金额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</w:rPr>
        <w:t>万元，其中：面向小微企业预留政府采购项目预算金额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</w:rPr>
        <w:t>万元。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截至2020年底，本部门（单位）及下属各预算单位占用使用国有资产总体情况为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1.房屋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64502.26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平方米，价值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13597.65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2.车辆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辆，价值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1236.25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万元；其中：一般公务用车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辆，价值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131.84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万元；执法执勤用车0 辆，价值0万元；其他车辆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辆，价值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1104.41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3.办公家具价值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211.80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4.其他资产价值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930.58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单位价值50万元以上大型设备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台（套），单位价值100万元以上大型设备0台（套）。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2021年单位预算未安排购置车辆经费（或安排购置车辆经费0万元），安排购置50万元以上大型设备0台（套），单位价值100万元以上大型设备 0台（套）。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2021年度，本年度实行绩效管理的一般公共预算项目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个，涉及预算金额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362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万元。具体情况见下表（按项目分别填报）：</w:t>
      </w:r>
    </w:p>
    <w:tbl>
      <w:tblPr>
        <w:tblStyle w:val="8"/>
        <w:tblW w:w="99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736"/>
        <w:gridCol w:w="1016"/>
        <w:gridCol w:w="3299"/>
        <w:gridCol w:w="3363"/>
        <w:gridCol w:w="645"/>
        <w:gridCol w:w="2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部门预算项目支出绩效目标表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水费及零星维修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7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克孜勒苏柯尔克孜自治州机关事务管理局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3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年度资金总额：50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3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其中：财政拨款：50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3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其他资金：0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9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该项目资金用于州机关大院及行政服务中心办公、绿化用水及自来水管道维修。通过该项目的实施，保障各单位工作情况需要，提升公共服务能力。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每月用水量（万立方/月）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维修自来水管道等次数(次）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维修自来水管道验收合格率（%）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水费缴纳及时率（%）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水费缴费标准（元/立方）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管道维修及材料采购支出（万元）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保障业务工作需要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满足机关大院各单位用水需求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受益单位满意度（%）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tbl>
      <w:tblPr>
        <w:tblStyle w:val="8"/>
        <w:tblW w:w="97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736"/>
        <w:gridCol w:w="2265"/>
        <w:gridCol w:w="2969"/>
        <w:gridCol w:w="1485"/>
        <w:gridCol w:w="1409"/>
        <w:gridCol w:w="2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部门预算项目支出绩效目标表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电费及零星维修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6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克孜勒苏柯尔克孜自治州机关事务管理局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6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年度资金总额：90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6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其中：财政拨款：90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6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其他资金：0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9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该项目资金用于州机关大院及行政服务中心办公区日常办公用电、大院美化量化、应急通讯保障用电及线路设备的零星维修。通过该项目的实施，保障各单位工作情况需要，提升公共服务能力。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每月用电量（万度/月）</w:t>
            </w: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维修线路及照明设备等次数（次)</w:t>
            </w: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维修线路及照明设备等合格率（%）</w:t>
            </w: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电费缴纳及时率（%）</w:t>
            </w: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电费缴费标准（元/度）</w:t>
            </w: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线路及照明设备等维修支出（万元）</w:t>
            </w: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保障业务工作需要</w:t>
            </w: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满足机关大院各单位用电需求</w:t>
            </w: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受益单位满意度（%）</w:t>
            </w:r>
          </w:p>
        </w:tc>
        <w:tc>
          <w:tcPr>
            <w:tcW w:w="3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tbl>
      <w:tblPr>
        <w:tblStyle w:val="8"/>
        <w:tblW w:w="97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735"/>
        <w:gridCol w:w="1770"/>
        <w:gridCol w:w="496"/>
        <w:gridCol w:w="2940"/>
        <w:gridCol w:w="29"/>
        <w:gridCol w:w="1084"/>
        <w:gridCol w:w="373"/>
        <w:gridCol w:w="28"/>
        <w:gridCol w:w="1085"/>
        <w:gridCol w:w="240"/>
        <w:gridCol w:w="57"/>
        <w:gridCol w:w="27"/>
        <w:gridCol w:w="213"/>
        <w:gridCol w:w="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部门预算项目支出绩效目标表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机关食堂生活补助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61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克孜勒苏柯尔克孜自治州机关事务管理局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61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1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年度资金总额：180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61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其中：财政拨款：180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61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其他资金：0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910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该项目资金用于州机关大院及行政服务中心1000多名干部职工一日三餐生活补助。通过该项目的实施，落实员工关爱机制，保障工作人员生活需要，提升公共服务效力。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1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22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补贴人员数量（人）</w:t>
            </w:r>
          </w:p>
        </w:tc>
        <w:tc>
          <w:tcPr>
            <w:tcW w:w="31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购买食材次数（次）</w:t>
            </w:r>
          </w:p>
        </w:tc>
        <w:tc>
          <w:tcPr>
            <w:tcW w:w="31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饭菜卫生合格率（%）</w:t>
            </w:r>
          </w:p>
        </w:tc>
        <w:tc>
          <w:tcPr>
            <w:tcW w:w="31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补贴资金到位率（%）</w:t>
            </w:r>
          </w:p>
        </w:tc>
        <w:tc>
          <w:tcPr>
            <w:tcW w:w="31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31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补贴人员标准（元/人/天）</w:t>
            </w:r>
          </w:p>
        </w:tc>
        <w:tc>
          <w:tcPr>
            <w:tcW w:w="31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购买食材及日用品支出（万元/月）</w:t>
            </w:r>
          </w:p>
        </w:tc>
        <w:tc>
          <w:tcPr>
            <w:tcW w:w="31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补助人员生活改善情况</w:t>
            </w:r>
          </w:p>
        </w:tc>
        <w:tc>
          <w:tcPr>
            <w:tcW w:w="31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有效改善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补助人员工作效率情况</w:t>
            </w:r>
          </w:p>
        </w:tc>
        <w:tc>
          <w:tcPr>
            <w:tcW w:w="31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补助人员满意度（%）</w:t>
            </w:r>
          </w:p>
        </w:tc>
        <w:tc>
          <w:tcPr>
            <w:tcW w:w="31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80" w:hRule="atLeast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80" w:hRule="atLeast"/>
        </w:trPr>
        <w:tc>
          <w:tcPr>
            <w:tcW w:w="9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部门预算项目支出绩效目标表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85" w:hRule="atLeast"/>
        </w:trPr>
        <w:tc>
          <w:tcPr>
            <w:tcW w:w="9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35" w:hRule="atLeast"/>
        </w:trPr>
        <w:tc>
          <w:tcPr>
            <w:tcW w:w="6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39" w:hRule="atLeast"/>
        </w:trPr>
        <w:tc>
          <w:tcPr>
            <w:tcW w:w="3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5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机关车队运行经费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39" w:hRule="atLeast"/>
        </w:trPr>
        <w:tc>
          <w:tcPr>
            <w:tcW w:w="3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65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克孜勒苏柯尔克孜自治州机关事务管理局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39" w:hRule="atLeast"/>
        </w:trPr>
        <w:tc>
          <w:tcPr>
            <w:tcW w:w="31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5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年度资金总额：35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39" w:hRule="atLeast"/>
        </w:trPr>
        <w:tc>
          <w:tcPr>
            <w:tcW w:w="31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其中：财政拨款：35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39" w:hRule="atLeast"/>
        </w:trPr>
        <w:tc>
          <w:tcPr>
            <w:tcW w:w="31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其他资金：0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39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907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7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该项目资金实施保障州党政机关事业单位公务用车正常运行，有效保障公务活动实施，提高工作效率。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8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管理车辆数（辆）</w:t>
            </w: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车辆维修次数(次/月/辆）</w:t>
            </w: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车辆维修保养合格率（%）</w:t>
            </w: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车辆行驶安全率（%）</w:t>
            </w: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车辆派车及时率（%）</w:t>
            </w: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车辆维修保养支出（万元）</w:t>
            </w: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车辆ETC费用（万元）</w:t>
            </w: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车辆保险费支出（万元）</w:t>
            </w: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保障业务工作需要</w:t>
            </w: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提高公共服务能力</w:t>
            </w: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有效改善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满足公务用车需求</w:t>
            </w: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受益单位满意度（%）</w:t>
            </w:r>
          </w:p>
        </w:tc>
        <w:tc>
          <w:tcPr>
            <w:tcW w:w="3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480" w:hRule="atLeast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480" w:hRule="atLeast"/>
        </w:trPr>
        <w:tc>
          <w:tcPr>
            <w:tcW w:w="9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部门预算项目支出绩效目标表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285" w:hRule="atLeast"/>
        </w:trPr>
        <w:tc>
          <w:tcPr>
            <w:tcW w:w="9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435" w:hRule="atLeast"/>
        </w:trPr>
        <w:tc>
          <w:tcPr>
            <w:tcW w:w="6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439" w:hRule="atLeast"/>
        </w:trPr>
        <w:tc>
          <w:tcPr>
            <w:tcW w:w="3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7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439" w:hRule="atLeast"/>
        </w:trPr>
        <w:tc>
          <w:tcPr>
            <w:tcW w:w="3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57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克孜勒苏柯尔克孜自治州机关事务管理局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439" w:hRule="atLeast"/>
        </w:trPr>
        <w:tc>
          <w:tcPr>
            <w:tcW w:w="361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7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年度资金总额：7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439" w:hRule="atLeast"/>
        </w:trPr>
        <w:tc>
          <w:tcPr>
            <w:tcW w:w="361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其中：财政拨款：7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439" w:hRule="atLeast"/>
        </w:trPr>
        <w:tc>
          <w:tcPr>
            <w:tcW w:w="361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439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87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1062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该项目资金用于保障群众工作队各项工作正常开展，提高工作效率，确保群众点阿克陶镇诺库其艾日克村早日脱贫致富。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66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5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22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购买办公用品、设备及耗材（批次）</w:t>
            </w: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车辆用油（升/月）</w:t>
            </w: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5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开展工作资金到位率（%）</w:t>
            </w: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66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验收合格率（%）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64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66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购买办公用品及耗材支出（万元/月）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78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车辆油费支出（万元/月）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60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70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村委会办公环境改善情况</w:t>
            </w: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有效改善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66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60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工作人员工作效率情况</w:t>
            </w: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4" w:type="dxa"/>
          <w:trHeight w:val="102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工作人员满意度（%）</w:t>
            </w: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widowControl/>
        <w:numPr>
          <w:ilvl w:val="0"/>
          <w:numId w:val="0"/>
        </w:numPr>
        <w:spacing w:line="56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eastAsia" w:eastAsia="仿宋_GB2312" w:cs="Times New Roman"/>
          <w:b/>
          <w:kern w:val="0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其他需说明的事项</w:t>
      </w:r>
    </w:p>
    <w:p>
      <w:pPr>
        <w:widowControl/>
        <w:spacing w:line="520" w:lineRule="exact"/>
        <w:ind w:firstLine="630" w:firstLineChars="3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克孜勒苏柯尔克孜自治州机关事务服务中心无其他需说明的事项。</w:t>
      </w:r>
    </w:p>
    <w:p>
      <w:pPr>
        <w:widowControl/>
        <w:spacing w:beforeLines="50" w:line="520" w:lineRule="exact"/>
        <w:jc w:val="center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beforeLines="50" w:line="520" w:lineRule="exact"/>
        <w:jc w:val="center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beforeLines="50" w:line="520" w:lineRule="exact"/>
        <w:jc w:val="center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numPr>
          <w:ilvl w:val="0"/>
          <w:numId w:val="2"/>
        </w:numPr>
        <w:spacing w:beforeLines="50" w:line="520" w:lineRule="exact"/>
        <w:jc w:val="center"/>
        <w:outlineLvl w:val="1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 xml:space="preserve"> 名词解释</w:t>
      </w:r>
    </w:p>
    <w:p>
      <w:pPr>
        <w:widowControl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520" w:lineRule="exact"/>
        <w:ind w:firstLine="642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一、财政拨款：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指由一般公共预算、政府性基金预算、国有资本经营预算安排的财政拨款数。</w:t>
      </w:r>
    </w:p>
    <w:p>
      <w:pPr>
        <w:spacing w:line="520" w:lineRule="exact"/>
        <w:ind w:firstLine="64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二、一般公共预算：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包括公共财政拨款资金、专项收入。</w:t>
      </w:r>
    </w:p>
    <w:p>
      <w:pPr>
        <w:spacing w:line="520" w:lineRule="exact"/>
        <w:ind w:firstLine="64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、其他资金：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包括其他收入。</w:t>
      </w:r>
    </w:p>
    <w:p>
      <w:pPr>
        <w:spacing w:line="520" w:lineRule="exact"/>
        <w:ind w:firstLine="64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、基本支出：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包括人员经费、</w:t>
      </w:r>
      <w:r>
        <w:rPr>
          <w:rFonts w:hint="eastAsia" w:eastAsia="仿宋_GB2312" w:cs="Times New Roman"/>
          <w:sz w:val="32"/>
          <w:szCs w:val="32"/>
          <w:lang w:eastAsia="zh-CN"/>
        </w:rPr>
        <w:t>公用经费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。其中</w:t>
      </w:r>
      <w:r>
        <w:rPr>
          <w:rFonts w:hint="eastAsia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人员经费包括工资福利支出、对个人和家庭的补助。</w:t>
      </w:r>
    </w:p>
    <w:p>
      <w:pPr>
        <w:spacing w:line="520" w:lineRule="exact"/>
        <w:ind w:firstLine="64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、项目支出：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单位支出预算的组成部分，是自治区本级单位为完成其特定的行政任务或事业发展目标，在基本支出预算之外编制的年度项目支出计划。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、“三公”经费：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自治州本级单位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支出。</w:t>
      </w:r>
    </w:p>
    <w:p>
      <w:pPr>
        <w:spacing w:line="520" w:lineRule="exact"/>
        <w:ind w:firstLine="64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、机关运行经费：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单位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克孜勒苏柯尔克孜自治州机关事务服务中心</w:t>
      </w:r>
    </w:p>
    <w:p>
      <w:pPr>
        <w:pStyle w:val="2"/>
        <w:jc w:val="center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2021年2月5日</w:t>
      </w:r>
    </w:p>
    <w:p>
      <w:pPr>
        <w:widowControl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ind w:left="3150" w:leftChars="15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631" w:y="37"/>
      <w:jc w:val="right"/>
      <w:rPr>
        <w:rStyle w:val="12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2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2"/>
        <w:rFonts w:ascii="宋体" w:hAnsi="宋体" w:eastAsia="宋体"/>
        <w:sz w:val="28"/>
      </w:rPr>
      <w:t>- 18 -</w:t>
    </w:r>
    <w:r>
      <w:rPr>
        <w:rFonts w:ascii="宋体" w:hAnsi="宋体" w:eastAsia="宋体"/>
        <w:sz w:val="28"/>
      </w:rPr>
      <w:fldChar w:fldCharType="end"/>
    </w:r>
    <w:r>
      <w:rPr>
        <w:rStyle w:val="12"/>
        <w:rFonts w:hint="eastAsia" w:ascii="宋体" w:hAnsi="宋体" w:eastAsia="宋体"/>
        <w:sz w:val="28"/>
      </w:rPr>
      <w:t xml:space="preserve"> 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756" w:y="37"/>
      <w:rPr>
        <w:rStyle w:val="12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AF7DF7"/>
    <w:multiLevelType w:val="singleLevel"/>
    <w:tmpl w:val="ACAF7DF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78920EF6"/>
    <w:multiLevelType w:val="singleLevel"/>
    <w:tmpl w:val="78920EF6"/>
    <w:lvl w:ilvl="0" w:tentative="0">
      <w:start w:val="4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BF"/>
    <w:rsid w:val="000253A7"/>
    <w:rsid w:val="00032D5E"/>
    <w:rsid w:val="0009522A"/>
    <w:rsid w:val="000A446D"/>
    <w:rsid w:val="000C350B"/>
    <w:rsid w:val="000F140C"/>
    <w:rsid w:val="0010379C"/>
    <w:rsid w:val="00105B9B"/>
    <w:rsid w:val="00121764"/>
    <w:rsid w:val="001246B2"/>
    <w:rsid w:val="001410DA"/>
    <w:rsid w:val="00146E16"/>
    <w:rsid w:val="00163AF1"/>
    <w:rsid w:val="001662FE"/>
    <w:rsid w:val="00172C01"/>
    <w:rsid w:val="00186398"/>
    <w:rsid w:val="001D3009"/>
    <w:rsid w:val="001F5533"/>
    <w:rsid w:val="002166BA"/>
    <w:rsid w:val="00221F09"/>
    <w:rsid w:val="002C261B"/>
    <w:rsid w:val="002C4CA9"/>
    <w:rsid w:val="002C6E1A"/>
    <w:rsid w:val="002D7DF6"/>
    <w:rsid w:val="002E5A9A"/>
    <w:rsid w:val="002F3187"/>
    <w:rsid w:val="00302593"/>
    <w:rsid w:val="003178FD"/>
    <w:rsid w:val="00322052"/>
    <w:rsid w:val="00324290"/>
    <w:rsid w:val="00356F0F"/>
    <w:rsid w:val="00396814"/>
    <w:rsid w:val="003B4B5F"/>
    <w:rsid w:val="003C2AD8"/>
    <w:rsid w:val="003C61E3"/>
    <w:rsid w:val="003E64E5"/>
    <w:rsid w:val="0042442C"/>
    <w:rsid w:val="00424D47"/>
    <w:rsid w:val="00432267"/>
    <w:rsid w:val="004377B3"/>
    <w:rsid w:val="00441330"/>
    <w:rsid w:val="00470D5F"/>
    <w:rsid w:val="00493EEC"/>
    <w:rsid w:val="004A72BA"/>
    <w:rsid w:val="004B1FE5"/>
    <w:rsid w:val="004B5A44"/>
    <w:rsid w:val="004D2619"/>
    <w:rsid w:val="004E6BBE"/>
    <w:rsid w:val="004E6FB9"/>
    <w:rsid w:val="004F62F9"/>
    <w:rsid w:val="00520D5A"/>
    <w:rsid w:val="005303E5"/>
    <w:rsid w:val="00536398"/>
    <w:rsid w:val="0056004C"/>
    <w:rsid w:val="0056338A"/>
    <w:rsid w:val="00592B4B"/>
    <w:rsid w:val="005B4A5A"/>
    <w:rsid w:val="005F5101"/>
    <w:rsid w:val="00641FBF"/>
    <w:rsid w:val="006836D5"/>
    <w:rsid w:val="00696574"/>
    <w:rsid w:val="006B6A8C"/>
    <w:rsid w:val="006D5EAD"/>
    <w:rsid w:val="0072037B"/>
    <w:rsid w:val="007219F8"/>
    <w:rsid w:val="00780E99"/>
    <w:rsid w:val="00782C99"/>
    <w:rsid w:val="007C626E"/>
    <w:rsid w:val="007E2CEA"/>
    <w:rsid w:val="007F32D0"/>
    <w:rsid w:val="00843E71"/>
    <w:rsid w:val="00846616"/>
    <w:rsid w:val="008752FD"/>
    <w:rsid w:val="008A6D99"/>
    <w:rsid w:val="008C157A"/>
    <w:rsid w:val="008F0187"/>
    <w:rsid w:val="009035BA"/>
    <w:rsid w:val="00907796"/>
    <w:rsid w:val="00942603"/>
    <w:rsid w:val="0096028F"/>
    <w:rsid w:val="0099744C"/>
    <w:rsid w:val="009C0857"/>
    <w:rsid w:val="009C6198"/>
    <w:rsid w:val="00A04063"/>
    <w:rsid w:val="00A2137B"/>
    <w:rsid w:val="00A9706D"/>
    <w:rsid w:val="00AC3B0D"/>
    <w:rsid w:val="00AC56F8"/>
    <w:rsid w:val="00AE39A0"/>
    <w:rsid w:val="00AE7CAF"/>
    <w:rsid w:val="00AF262E"/>
    <w:rsid w:val="00B127E0"/>
    <w:rsid w:val="00B17644"/>
    <w:rsid w:val="00B66222"/>
    <w:rsid w:val="00B81AEF"/>
    <w:rsid w:val="00BA582F"/>
    <w:rsid w:val="00BB162A"/>
    <w:rsid w:val="00BE5A0C"/>
    <w:rsid w:val="00C117E5"/>
    <w:rsid w:val="00C91D41"/>
    <w:rsid w:val="00C92F64"/>
    <w:rsid w:val="00CA4E1E"/>
    <w:rsid w:val="00D05A1C"/>
    <w:rsid w:val="00D15954"/>
    <w:rsid w:val="00DA4D54"/>
    <w:rsid w:val="00DC05BF"/>
    <w:rsid w:val="00DC5511"/>
    <w:rsid w:val="00DD7F3E"/>
    <w:rsid w:val="00E5025A"/>
    <w:rsid w:val="00E65E89"/>
    <w:rsid w:val="00E72E1E"/>
    <w:rsid w:val="00E7576A"/>
    <w:rsid w:val="00EA6693"/>
    <w:rsid w:val="00EB23BD"/>
    <w:rsid w:val="00EE44B2"/>
    <w:rsid w:val="00F02589"/>
    <w:rsid w:val="00F068E3"/>
    <w:rsid w:val="00F23808"/>
    <w:rsid w:val="00F54FE8"/>
    <w:rsid w:val="00F830A1"/>
    <w:rsid w:val="00F83503"/>
    <w:rsid w:val="00F90952"/>
    <w:rsid w:val="00FC7153"/>
    <w:rsid w:val="00FD45A2"/>
    <w:rsid w:val="00FE023A"/>
    <w:rsid w:val="01184FCB"/>
    <w:rsid w:val="02046C23"/>
    <w:rsid w:val="032B1CF7"/>
    <w:rsid w:val="03374B56"/>
    <w:rsid w:val="038F2DB2"/>
    <w:rsid w:val="040E3660"/>
    <w:rsid w:val="04BF18E7"/>
    <w:rsid w:val="05C829F4"/>
    <w:rsid w:val="05FC297A"/>
    <w:rsid w:val="06DE7885"/>
    <w:rsid w:val="0711022B"/>
    <w:rsid w:val="07D63446"/>
    <w:rsid w:val="07FB5DAB"/>
    <w:rsid w:val="094534C1"/>
    <w:rsid w:val="0971048E"/>
    <w:rsid w:val="0A0D50B2"/>
    <w:rsid w:val="0AA13901"/>
    <w:rsid w:val="0B0F1992"/>
    <w:rsid w:val="0BA06E5B"/>
    <w:rsid w:val="0ED70304"/>
    <w:rsid w:val="0F2D30CD"/>
    <w:rsid w:val="0F7C0FF0"/>
    <w:rsid w:val="0FAA5CBE"/>
    <w:rsid w:val="11DD38F7"/>
    <w:rsid w:val="123F43D1"/>
    <w:rsid w:val="13216855"/>
    <w:rsid w:val="13915A94"/>
    <w:rsid w:val="139B6FCE"/>
    <w:rsid w:val="13CD6F7F"/>
    <w:rsid w:val="141132DB"/>
    <w:rsid w:val="14701323"/>
    <w:rsid w:val="147D4BE8"/>
    <w:rsid w:val="14D46723"/>
    <w:rsid w:val="15E021A1"/>
    <w:rsid w:val="16683627"/>
    <w:rsid w:val="167D08D6"/>
    <w:rsid w:val="172C3EBA"/>
    <w:rsid w:val="182C4ECB"/>
    <w:rsid w:val="18593C69"/>
    <w:rsid w:val="187C5F8F"/>
    <w:rsid w:val="1A570FC2"/>
    <w:rsid w:val="1ADB67D3"/>
    <w:rsid w:val="1B043ACA"/>
    <w:rsid w:val="1B1505A2"/>
    <w:rsid w:val="1B1A34F1"/>
    <w:rsid w:val="1B3671F1"/>
    <w:rsid w:val="1B9146FD"/>
    <w:rsid w:val="1BDB0990"/>
    <w:rsid w:val="1C6A22A6"/>
    <w:rsid w:val="1D055794"/>
    <w:rsid w:val="1D102557"/>
    <w:rsid w:val="1D750A42"/>
    <w:rsid w:val="1D7F6BC9"/>
    <w:rsid w:val="1D8B01E1"/>
    <w:rsid w:val="1F6B4E48"/>
    <w:rsid w:val="1F797C41"/>
    <w:rsid w:val="1F8E1484"/>
    <w:rsid w:val="1FCA390D"/>
    <w:rsid w:val="1FE40502"/>
    <w:rsid w:val="1FEB23AF"/>
    <w:rsid w:val="1FEE00A8"/>
    <w:rsid w:val="20673BCD"/>
    <w:rsid w:val="210504D8"/>
    <w:rsid w:val="213D19F8"/>
    <w:rsid w:val="21515531"/>
    <w:rsid w:val="21720F71"/>
    <w:rsid w:val="218859D7"/>
    <w:rsid w:val="228B7BFD"/>
    <w:rsid w:val="22EA0E78"/>
    <w:rsid w:val="231236FB"/>
    <w:rsid w:val="23424A80"/>
    <w:rsid w:val="2495409E"/>
    <w:rsid w:val="24A27103"/>
    <w:rsid w:val="24BC35A2"/>
    <w:rsid w:val="26400D51"/>
    <w:rsid w:val="26FE2523"/>
    <w:rsid w:val="272A19CC"/>
    <w:rsid w:val="279041C8"/>
    <w:rsid w:val="27E05021"/>
    <w:rsid w:val="28A83AC9"/>
    <w:rsid w:val="28DA0E68"/>
    <w:rsid w:val="28FC2D98"/>
    <w:rsid w:val="299E1D5D"/>
    <w:rsid w:val="29D13499"/>
    <w:rsid w:val="2A355ADC"/>
    <w:rsid w:val="2A3C5B61"/>
    <w:rsid w:val="2B875BE6"/>
    <w:rsid w:val="2B8C06DE"/>
    <w:rsid w:val="2BA16A9B"/>
    <w:rsid w:val="2C2036F0"/>
    <w:rsid w:val="2C700460"/>
    <w:rsid w:val="2CC809E6"/>
    <w:rsid w:val="2D472FD9"/>
    <w:rsid w:val="2D753458"/>
    <w:rsid w:val="2D820380"/>
    <w:rsid w:val="2DBF3A34"/>
    <w:rsid w:val="2DC025E7"/>
    <w:rsid w:val="2E007A14"/>
    <w:rsid w:val="2E39202A"/>
    <w:rsid w:val="2E966B74"/>
    <w:rsid w:val="2EBB1542"/>
    <w:rsid w:val="2F3177FF"/>
    <w:rsid w:val="2F384FB3"/>
    <w:rsid w:val="31115F9A"/>
    <w:rsid w:val="31425768"/>
    <w:rsid w:val="318372AC"/>
    <w:rsid w:val="32EC396A"/>
    <w:rsid w:val="34AC4CFA"/>
    <w:rsid w:val="353265C3"/>
    <w:rsid w:val="356C3534"/>
    <w:rsid w:val="37A64EBC"/>
    <w:rsid w:val="37B3258B"/>
    <w:rsid w:val="37F03892"/>
    <w:rsid w:val="390822EA"/>
    <w:rsid w:val="3A1E3928"/>
    <w:rsid w:val="3AD67805"/>
    <w:rsid w:val="3AF72094"/>
    <w:rsid w:val="3B3823DE"/>
    <w:rsid w:val="3B483C98"/>
    <w:rsid w:val="3C354513"/>
    <w:rsid w:val="3E463032"/>
    <w:rsid w:val="3F1570BF"/>
    <w:rsid w:val="402D0951"/>
    <w:rsid w:val="41E86EC8"/>
    <w:rsid w:val="42F82F26"/>
    <w:rsid w:val="436720E7"/>
    <w:rsid w:val="43BF3DC1"/>
    <w:rsid w:val="441349D5"/>
    <w:rsid w:val="44167B48"/>
    <w:rsid w:val="445A5A2D"/>
    <w:rsid w:val="44AF110D"/>
    <w:rsid w:val="44DF4A5B"/>
    <w:rsid w:val="45334668"/>
    <w:rsid w:val="4598468F"/>
    <w:rsid w:val="46633A58"/>
    <w:rsid w:val="47AD4A30"/>
    <w:rsid w:val="486F010E"/>
    <w:rsid w:val="48C20721"/>
    <w:rsid w:val="495424D3"/>
    <w:rsid w:val="4A9628AE"/>
    <w:rsid w:val="4B6C1B56"/>
    <w:rsid w:val="4DE77CBA"/>
    <w:rsid w:val="4DF65B01"/>
    <w:rsid w:val="4E14073A"/>
    <w:rsid w:val="4EE514F8"/>
    <w:rsid w:val="4EF06520"/>
    <w:rsid w:val="50841536"/>
    <w:rsid w:val="50995835"/>
    <w:rsid w:val="509F5C5D"/>
    <w:rsid w:val="51745485"/>
    <w:rsid w:val="52ED0B62"/>
    <w:rsid w:val="53F95178"/>
    <w:rsid w:val="54C90540"/>
    <w:rsid w:val="55D94358"/>
    <w:rsid w:val="5676095C"/>
    <w:rsid w:val="57842046"/>
    <w:rsid w:val="57FC1710"/>
    <w:rsid w:val="58063540"/>
    <w:rsid w:val="586F0F85"/>
    <w:rsid w:val="58E63DEC"/>
    <w:rsid w:val="59C927CA"/>
    <w:rsid w:val="5A0F57D7"/>
    <w:rsid w:val="5ABD35B0"/>
    <w:rsid w:val="5AD02DBB"/>
    <w:rsid w:val="5AD6269B"/>
    <w:rsid w:val="5B964D9A"/>
    <w:rsid w:val="5C1300B2"/>
    <w:rsid w:val="5CF01A0C"/>
    <w:rsid w:val="5E793C61"/>
    <w:rsid w:val="5E8D281B"/>
    <w:rsid w:val="5EC2102D"/>
    <w:rsid w:val="5F0D29A4"/>
    <w:rsid w:val="5F1478BE"/>
    <w:rsid w:val="5FA449BB"/>
    <w:rsid w:val="602F154C"/>
    <w:rsid w:val="608D5A18"/>
    <w:rsid w:val="60937D30"/>
    <w:rsid w:val="615407A5"/>
    <w:rsid w:val="61FC1BEE"/>
    <w:rsid w:val="62507390"/>
    <w:rsid w:val="64855E3E"/>
    <w:rsid w:val="661C5CBC"/>
    <w:rsid w:val="66216973"/>
    <w:rsid w:val="66ED24F4"/>
    <w:rsid w:val="677474F0"/>
    <w:rsid w:val="67824BB3"/>
    <w:rsid w:val="67B728AC"/>
    <w:rsid w:val="685E69C0"/>
    <w:rsid w:val="687830B4"/>
    <w:rsid w:val="689C5231"/>
    <w:rsid w:val="6A3F391E"/>
    <w:rsid w:val="6A5237E3"/>
    <w:rsid w:val="6B061CFD"/>
    <w:rsid w:val="6C4C29A9"/>
    <w:rsid w:val="6CDB5FBA"/>
    <w:rsid w:val="6E0C1D81"/>
    <w:rsid w:val="6EEB2EB9"/>
    <w:rsid w:val="6EF344FD"/>
    <w:rsid w:val="6F085447"/>
    <w:rsid w:val="6F0F691F"/>
    <w:rsid w:val="6FBD32F4"/>
    <w:rsid w:val="70193770"/>
    <w:rsid w:val="709A6C51"/>
    <w:rsid w:val="71CC48B2"/>
    <w:rsid w:val="71F66FB2"/>
    <w:rsid w:val="726E4E08"/>
    <w:rsid w:val="729A4D8E"/>
    <w:rsid w:val="72EE4E88"/>
    <w:rsid w:val="740630E3"/>
    <w:rsid w:val="74727EE2"/>
    <w:rsid w:val="74F32D5B"/>
    <w:rsid w:val="7518377D"/>
    <w:rsid w:val="75280E60"/>
    <w:rsid w:val="76795E65"/>
    <w:rsid w:val="76AC1E37"/>
    <w:rsid w:val="76E868A4"/>
    <w:rsid w:val="786344E5"/>
    <w:rsid w:val="79C70D0E"/>
    <w:rsid w:val="7A7A290E"/>
    <w:rsid w:val="7B552AE8"/>
    <w:rsid w:val="7BAB0A35"/>
    <w:rsid w:val="7C093FBA"/>
    <w:rsid w:val="7EE7740F"/>
    <w:rsid w:val="7F0B3038"/>
    <w:rsid w:val="7F2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Indent 3"/>
    <w:basedOn w:val="1"/>
    <w:link w:val="16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Char"/>
    <w:basedOn w:val="10"/>
    <w:link w:val="5"/>
    <w:qFormat/>
    <w:uiPriority w:val="0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link w:val="3"/>
    <w:semiHidden/>
    <w:qFormat/>
    <w:uiPriority w:val="0"/>
    <w:rPr>
      <w:sz w:val="18"/>
      <w:szCs w:val="18"/>
    </w:rPr>
  </w:style>
  <w:style w:type="character" w:customStyle="1" w:styleId="16">
    <w:name w:val="正文文本缩进 3 Char"/>
    <w:link w:val="6"/>
    <w:qFormat/>
    <w:uiPriority w:val="0"/>
    <w:rPr>
      <w:rFonts w:eastAsia="仿宋_GB2312"/>
      <w:sz w:val="32"/>
      <w:szCs w:val="24"/>
    </w:rPr>
  </w:style>
  <w:style w:type="paragraph" w:customStyle="1" w:styleId="17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8">
    <w:name w:val="正文文本缩进 3 字符1"/>
    <w:basedOn w:val="10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1">
    <w:name w:val="批注框文本 字符1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3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FA429C-CE09-4ED5-895E-912BA0B5EF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1868</Words>
  <Characters>10648</Characters>
  <Lines>88</Lines>
  <Paragraphs>24</Paragraphs>
  <TotalTime>0</TotalTime>
  <ScaleCrop>false</ScaleCrop>
  <LinksUpToDate>false</LinksUpToDate>
  <CharactersWithSpaces>12492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2021-01-31T05:55:00Z</dcterms:created>
  <dc:creator>薛理升</dc:creator>
  <cp:lastModifiedBy>Administrator</cp:lastModifiedBy>
  <cp:lastPrinted>2021-03-04T03:23:00Z</cp:lastPrinted>
  <dcterms:modified xsi:type="dcterms:W3CDTF">2021-03-04T03:57:38Z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