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水利管理处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2021年部门（单位）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2021年克孜勒苏柯尔克孜自治州水利管理处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柯尔克孜自治州水利管理处负责全州水利工程、农牧灌溉区运行管理、综合经营的业务指导和监；负责直管水利工程（阿湖水库管理站、恰河管理站）的防洪、供水、发电、综合经营、日常运行维护的管理事务；负责全州各辖区内各流域分水、调水、年度用水计划的制度与监督实施。指导开展节水技术的试验推广；全州水管人员的技术培训；负责全州灌溉制度、灌溉用水价格调整，水费征收制度的研究和决定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办公室、工程灌溉管理科、综合经营科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303.61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303.61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7.80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312.81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320.61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320.61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50"/>
        <w:gridCol w:w="450"/>
        <w:gridCol w:w="1245"/>
        <w:gridCol w:w="900"/>
        <w:gridCol w:w="930"/>
        <w:gridCol w:w="570"/>
        <w:gridCol w:w="602"/>
        <w:gridCol w:w="709"/>
        <w:gridCol w:w="567"/>
        <w:gridCol w:w="567"/>
        <w:gridCol w:w="567"/>
        <w:gridCol w:w="514"/>
        <w:gridCol w:w="765"/>
        <w:gridCol w:w="480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yellow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yellow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农林水支出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312.81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295.81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水利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312.81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295.81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水利行业业务管理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272.81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272.81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其他水利支出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40.00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23.00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教育支出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普通教育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320.61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303.61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77"/>
        <w:gridCol w:w="510"/>
        <w:gridCol w:w="2257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2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2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农林水支出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312.81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272.81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水利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312.81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272.81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水利行业业务管理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272.81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272.81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其他水利支出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教育支出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普通家宴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学前教育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320.61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280.61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40.00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303.61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303.61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295.81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295.81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303.61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303.61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303.61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92"/>
        <w:gridCol w:w="2435"/>
        <w:gridCol w:w="1684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克孜勒苏柯尔克孜自治州水利管理处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对个人和家庭的补助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其他对个人和家庭的补助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学前教育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商品和服务支出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295.81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272.81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295.81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272.81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水利行业业务管理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272.81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272.81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其他水利支出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303.61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280.61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23.00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克孜勒苏柯尔克孜自治州水利管理处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公务用车运行与维护费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生活补助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24.68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24.68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办公用品及设备采购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280.61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272.55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8.07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  <w:bookmarkStart w:id="0" w:name="_GoBack"/>
      <w:bookmarkEnd w:id="0"/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20"/>
        <w:gridCol w:w="420"/>
        <w:gridCol w:w="420"/>
        <w:gridCol w:w="915"/>
        <w:gridCol w:w="1365"/>
        <w:gridCol w:w="710"/>
        <w:gridCol w:w="565"/>
        <w:gridCol w:w="750"/>
        <w:gridCol w:w="525"/>
        <w:gridCol w:w="459"/>
        <w:gridCol w:w="578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克孜勒苏柯尔克孜自治州水利管理处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365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2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9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农林水支出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both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23.00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23.00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水利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both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23.00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23.00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其他水利支出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91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其他水利支出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工作经费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16.00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16.00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23.00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23.00</w:t>
            </w:r>
          </w:p>
        </w:tc>
        <w:tc>
          <w:tcPr>
            <w:tcW w:w="52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7"/>
        <w:tblW w:w="0" w:type="auto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克孜勒苏柯尔克孜自治州水利管理处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47"/>
        <w:gridCol w:w="60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故此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303.61万元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支出包括：教育支出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312.81万元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303.61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人员工资正常晋升增长；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国有资本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经营预算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未安排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我单位驻村点由中村变为大村，经费增加。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87.52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2020年预算支出中包含当年事业经营收入预算数，2021年预算中只有一般公共预算支出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2021年项目比2020年多，为民办实事工作经费增加了5万元；新增工作经费项目16万元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303.61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303.61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教育工作者生活补助；农林水支出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295.81万元，主要用于支付职工工资、养老、社保、公积金、单位日常公用经费、商品服务支出以及群众工作经费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303.61万元，其中：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2021年在职人员级别下降，造成人员工资减少；二是2020年年底调入一人，工资未做到2021年预算当中。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23万元，比上年预算增加16万元，增长了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228.57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。主要原因：是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2020年项目只有一个为群众工作经费项目7万元，其次是2021年增加了工作经费项目16万元，造成上下年预算差异较大。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</w:t>
      </w:r>
      <w:r>
        <w:rPr>
          <w:rFonts w:hint="eastAsia" w:ascii="仿宋_GB2312" w:eastAsia="仿宋_GB2312"/>
          <w:sz w:val="32"/>
          <w:szCs w:val="32"/>
          <w:lang w:eastAsia="zh-CN"/>
        </w:rPr>
        <w:t>预算农林水支出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295.81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一般公共</w:t>
      </w:r>
      <w:r>
        <w:rPr>
          <w:rFonts w:hint="eastAsia" w:ascii="仿宋_GB2312" w:eastAsia="仿宋_GB2312"/>
          <w:sz w:val="32"/>
          <w:szCs w:val="32"/>
          <w:lang w:eastAsia="zh-CN"/>
        </w:rPr>
        <w:t>预算教育支出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205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预算教育支出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普通教育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02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学前教育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2021年教育补助发放人数和标准与2020年相比无变动。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预算农林水支出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水利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水利行业业务管理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04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272.81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5.08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降低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2021年在职人员级别下降，造成人员工资减少；二是2020年年底调入一人，工资未做到2021年预算当中。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预算农林水支出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水利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其他水利支出（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2021年预算数为40万元，比上年预算增加了21万元，增长110.53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%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2021年项目比2020年多，为民办实事工作经费增加了5万元；新增工作经费项目16万元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272.55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76.82万元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92.08万元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24.68万元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16.83万元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12.77万元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自治州州委州政府统一安排</w:t>
      </w:r>
    </w:p>
    <w:p>
      <w:pPr>
        <w:spacing w:line="560" w:lineRule="exact"/>
        <w:ind w:firstLine="640" w:firstLineChars="200"/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/年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工作经费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自治州州委州政府统一安排</w:t>
      </w:r>
    </w:p>
    <w:p>
      <w:pPr>
        <w:spacing w:line="560" w:lineRule="exact"/>
        <w:ind w:firstLine="640" w:firstLineChars="200"/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16万元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/年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克州水利管理处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万元，公务用车购置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无因公出国，未做预算安排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；公务用车购置费为0，未安排预算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;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2021年群众工作任务较重，用车较多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2020年未做公务接待预算，2021年有项目工程，上级检查较多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水利管理处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2021年在职人员工会经费比2020年有所减少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万元，政府采购服务预算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39.9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39.9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1896.48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万元。执法执勤用车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4.其他资产价值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克州水利管理处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开展技能培训次数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购买办公用品次数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贫困村民技能培训参与率（%）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≧90%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技能培训以及活动成本（万元）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购买办公用品成本（万元）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提高公共服务水平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维护社会稳定和长治久安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受益村民满意度（%）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≧95%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克州水利管理处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16.00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保障车辆数（辆）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购买办公用品（批次）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≧6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购置质量合格率（%）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保障工作情况需要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确保正常运行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受益工作人员满意度（%）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≧95%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克孜勒苏柯尔克孜自治州水利管理处无其他需说明事项。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指由一般公共预算、政府性基金预算、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国有资本经营预算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克孜勒苏柯尔克孜自治州水利管理处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BC165D5"/>
    <w:rsid w:val="2B007636"/>
    <w:rsid w:val="2E586AC4"/>
    <w:rsid w:val="40477FD8"/>
    <w:rsid w:val="44400CF9"/>
    <w:rsid w:val="68022F67"/>
    <w:rsid w:val="71DC172B"/>
    <w:rsid w:val="7DA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9</TotalTime>
  <ScaleCrop>false</ScaleCrop>
  <LinksUpToDate>false</LinksUpToDate>
  <CharactersWithSpaces>16419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杨</cp:lastModifiedBy>
  <dcterms:modified xsi:type="dcterms:W3CDTF">2021-03-01T09:28:45Z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4E49F220A7B2448084228CD4F3FB6991</vt:lpwstr>
  </property>
</Properties>
</file>