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</w:t>
      </w: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新疆帕米尔高原湿地自然保护区管理站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2020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both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720" w:firstLineChars="200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新疆帕米尔高原湿地自然保护区管理站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新疆帕米尔高原湿地自然保护区管理站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新疆帕米尔高原湿地自然保护区管理站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新疆帕米尔高原湿地自然保护区管理站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20202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新疆帕米尔高原湿地自然保护区管理站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新疆帕米尔高原湿地自然保护区管理站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新疆帕米尔高原湿地自然保护区管理站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新疆帕米尔高原湿地自然保护区管理站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新疆帕米尔高原湿地自然保护区管理站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新疆帕米尔高原湿地自然保护区管理站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新疆帕米高原湿地自然保护区管理站</w:t>
      </w:r>
      <w:r>
        <w:rPr>
          <w:rFonts w:hint="eastAsia" w:ascii="黑体" w:hAnsi="黑体" w:eastAsia="黑体"/>
          <w:kern w:val="0"/>
          <w:sz w:val="32"/>
          <w:szCs w:val="32"/>
        </w:rPr>
        <w:t>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宋体"/>
          <w:bCs/>
          <w:kern w:val="0"/>
          <w:sz w:val="32"/>
          <w:szCs w:val="32"/>
        </w:rPr>
        <w:t>新疆帕米尔高原湿地自然保护区管理站职能为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加强湿地自然保护区的保护和管理，改善生态环境，防治河流干涸及湖滨荒漠沙化，根据《中华人民共和国环境保护法》、《中华人民共和国自然保护区条例》、《新疆维吾尔自治区自然保护区管理条例》及有关法律、法规结合帕米尔高原湿地实际制定自然保护区管理办法；组织协调有关部门开展科学研究和科普教育工作；组织调查自然资源并建立档案、组织自然保护区环境监测，定期提出环境与资源变化与发展趋势报告，保护自然保护区自然环境和自然资源；负责保护区内水资源、净化水质、蓄洪防旱、调节气候和维护生物多样性；在保护区境内和周边设立管理站，负责保护区的社会治安秩序，依法保护自然资源，查处破坏生态环境和自然资源的违法行为并进行整改；通过保护逐步恢复湿地生态系统，充分发挥湿地的最大生态效益、社会效益和经济效益，达到可持续的开发利用；审查、申报保护管理和开发利用的重要事项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 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新疆帕米尔高原湿地自然保护区管理站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单位无下属预算单位，下设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个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科室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，分别是：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业务室、财务室、办公室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新疆帕米尔高原湿地自然保护区管理站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单位编制数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，实有人数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 退休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人，增加或减少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</w:rPr>
        <w:t>编制部门</w:t>
      </w:r>
      <w:r>
        <w:rPr>
          <w:rFonts w:hint="eastAsia" w:ascii="仿宋_GB2312" w:hAnsi="宋体" w:eastAsia="仿宋_GB2312" w:cs="Times New Roman"/>
          <w:kern w:val="0"/>
          <w:sz w:val="24"/>
          <w:szCs w:val="24"/>
          <w:lang w:eastAsia="zh-CN"/>
        </w:rPr>
        <w:t>：新疆帕米尔高原湿地自然保护区管理站</w:t>
      </w:r>
      <w:r>
        <w:rPr>
          <w:rFonts w:hint="eastAsia" w:ascii="仿宋_GB2312" w:hAnsi="宋体" w:eastAsia="仿宋_GB2312"/>
          <w:kern w:val="0"/>
          <w:sz w:val="24"/>
        </w:rPr>
        <w:t xml:space="preserve">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kern w:val="0"/>
          <w:sz w:val="24"/>
        </w:rPr>
        <w:t xml:space="preserve"> 单位：万元                              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149.01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149.01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506.96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149.01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506.96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357.94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506.96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506.96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tbl>
      <w:tblPr>
        <w:tblStyle w:val="7"/>
        <w:tblpPr w:leftFromText="180" w:rightFromText="180" w:vertAnchor="text" w:horzAnchor="page" w:tblpX="1273" w:tblpY="538"/>
        <w:tblOverlap w:val="never"/>
        <w:tblW w:w="101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50"/>
        <w:gridCol w:w="532"/>
        <w:gridCol w:w="761"/>
        <w:gridCol w:w="3"/>
        <w:gridCol w:w="775"/>
        <w:gridCol w:w="3"/>
        <w:gridCol w:w="1060"/>
        <w:gridCol w:w="3"/>
        <w:gridCol w:w="488"/>
        <w:gridCol w:w="3"/>
        <w:gridCol w:w="638"/>
        <w:gridCol w:w="3"/>
        <w:gridCol w:w="597"/>
        <w:gridCol w:w="3"/>
        <w:gridCol w:w="667"/>
        <w:gridCol w:w="735"/>
        <w:gridCol w:w="3"/>
        <w:gridCol w:w="569"/>
        <w:gridCol w:w="3"/>
        <w:gridCol w:w="570"/>
        <w:gridCol w:w="3"/>
        <w:gridCol w:w="788"/>
        <w:gridCol w:w="3"/>
        <w:gridCol w:w="954"/>
        <w:gridCol w:w="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10" w:hRule="atLeast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49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专项收入</w:t>
            </w: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213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02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湿地保护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506.96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149.01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357.94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506.96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149.01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357.94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</w:t>
      </w:r>
      <w:r>
        <w:rPr>
          <w:rFonts w:hint="eastAsia" w:ascii="仿宋_GB2312" w:hAnsi="宋体" w:eastAsia="仿宋_GB2312" w:cs="Times New Roman"/>
          <w:kern w:val="0"/>
          <w:sz w:val="24"/>
          <w:szCs w:val="24"/>
          <w:lang w:eastAsia="zh-CN"/>
        </w:rPr>
        <w:t>新疆帕米尔高原湿地自然保护区管理站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单位：万元                           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 w:cs="Times New Roman"/>
          <w:kern w:val="0"/>
          <w:sz w:val="24"/>
          <w:szCs w:val="24"/>
          <w:lang w:eastAsia="zh-CN"/>
        </w:rPr>
        <w:t>新疆帕米尔高原湿地自然保护区管理站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400"/>
        <w:gridCol w:w="400"/>
        <w:gridCol w:w="2604"/>
        <w:gridCol w:w="1855"/>
        <w:gridCol w:w="1856"/>
        <w:gridCol w:w="1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213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12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湿地保护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506.9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143.01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363.94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506.9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143.01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363.94</w:t>
            </w:r>
          </w:p>
        </w:tc>
      </w:tr>
    </w:tbl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/>
        <w:jc w:val="left"/>
        <w:textAlignment w:val="auto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8"/>
          <w:szCs w:val="28"/>
          <w:lang w:eastAsia="zh-CN"/>
        </w:rPr>
        <w:t>新疆帕米尔高原湿地自然保护区管理站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单位：万元                               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149.01 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149.01 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149.01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149.01 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149.01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149.01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149.01 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1684"/>
        <w:gridCol w:w="1842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eastAsia="zh-CN"/>
              </w:rPr>
              <w:t>新疆帕米尔高原湿地自然保护区管理站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eastAsia="zh-CN"/>
              </w:rPr>
              <w:t>湿地保护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149.01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143.01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149.01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143.01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29"/>
        <w:gridCol w:w="2739"/>
        <w:gridCol w:w="1701"/>
        <w:gridCol w:w="170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eastAsia="zh-CN"/>
              </w:rPr>
              <w:t>新疆帕米尔高原湿地自然保护区管理站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7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7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30231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30101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31.50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31.50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30202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30309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奖励金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30229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1.27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30201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30206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30228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30112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7.93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7.93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30211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差旅费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30208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取暖费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0.95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30226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30207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邮电费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30108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14.74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14.74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30205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30213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维修(护)费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30103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2.63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2.63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67.06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67.06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30302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30113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10.74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10.74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143.01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136.50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6.52 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618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569"/>
        <w:gridCol w:w="536"/>
        <w:gridCol w:w="652"/>
        <w:gridCol w:w="652"/>
        <w:gridCol w:w="578"/>
        <w:gridCol w:w="419"/>
        <w:gridCol w:w="578"/>
        <w:gridCol w:w="420"/>
        <w:gridCol w:w="420"/>
        <w:gridCol w:w="389"/>
        <w:gridCol w:w="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157" w:type="dxa"/>
          <w:trHeight w:val="375" w:hRule="atLeast"/>
        </w:trPr>
        <w:tc>
          <w:tcPr>
            <w:tcW w:w="94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157" w:type="dxa"/>
          <w:trHeight w:val="405" w:hRule="atLeast"/>
        </w:trPr>
        <w:tc>
          <w:tcPr>
            <w:tcW w:w="94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eastAsia="zh-CN"/>
              </w:rPr>
              <w:t>新疆帕米尔高原湿地自然保护区管理站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546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湿地保护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2019年湿地生态效益补偿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56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湿地保护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湿地保护与宣传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56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湿地保护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2018年湿地生态效益补偿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71.55 </w:t>
            </w:r>
          </w:p>
        </w:tc>
        <w:tc>
          <w:tcPr>
            <w:tcW w:w="56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湿地保护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2017年退牧还湿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86.39 </w:t>
            </w:r>
          </w:p>
        </w:tc>
        <w:tc>
          <w:tcPr>
            <w:tcW w:w="56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363.94 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4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357.94 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 w:cs="Times New Roman"/>
          <w:kern w:val="0"/>
          <w:sz w:val="24"/>
          <w:szCs w:val="24"/>
          <w:lang w:eastAsia="zh-CN"/>
        </w:rPr>
        <w:t>新疆帕米尔高原湿地自然保护区管理站</w:t>
      </w:r>
      <w:r>
        <w:rPr>
          <w:rFonts w:hint="eastAsia" w:ascii="仿宋_GB2312" w:hAnsi="宋体" w:eastAsia="仿宋_GB2312" w:cs="Times New Roman"/>
          <w:kern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kern w:val="0"/>
          <w:sz w:val="24"/>
        </w:rPr>
        <w:t xml:space="preserve">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 w:cs="Times New Roman"/>
          <w:kern w:val="0"/>
          <w:sz w:val="24"/>
          <w:szCs w:val="24"/>
          <w:lang w:eastAsia="zh-CN"/>
        </w:rPr>
        <w:t>新疆帕米尔高原湿地自然保护区管理站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新疆帕米尔高原湿地自然保护区管理站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。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titlePg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新疆帕米尔高原湿地自然保护区管理站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新疆帕米尔高原湿地自然保护区管理站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506.96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收入预算包括：一般公共预算149.01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 政府性基金预算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、单位上年结余357.94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（不包括国库集中支付额度结余）等。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支出预算包括：农林水支出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506.96万元。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新疆帕米尔高原湿地自然保护区管理站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新疆帕米尔高原湿地自然保护区管理站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收入预算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506.96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149.01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29.39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21.59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一名干部退休，福利费、公用经费减少、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2020年预算未安排群众工作经费及生活补助费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单位上年结余（不包括国库集中支付额度结余）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357.94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70.61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93.5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原因预算里安排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剩余的项目资金，项目资金如下：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1.2017年退牧还湿项目86.39万元，2.2018年湿地生态效益补偿项目71.55万元，3.2019年湿地生态效益补偿项目200万元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。  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新疆帕米尔高原湿地自然保护区管理站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新疆帕米尔高原湿地自然保护区管理站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506.96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143.01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28.29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%，比上年减少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21.59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一名干部退休工资、福利费减少，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2020年预算未安排群众工作经费及生活补助费。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363.94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71.79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93.5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原因预算里安排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结转的项目资金，项目资金如下：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1.2017年退牧还湿项目86.39万元，2.2018年湿地生态效益补偿项目71.55万元，3.2019年湿地生态效益补偿项目200万元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4.湿地保护与宣传项目6万元。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新疆帕米尔高原湿地自然保护区管理站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年财政拨款收支总预算149.01万元。</w:t>
      </w:r>
    </w:p>
    <w:p>
      <w:pPr>
        <w:spacing w:line="560" w:lineRule="exact"/>
        <w:ind w:firstLine="616" w:firstLineChars="200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60" w:lineRule="exact"/>
        <w:ind w:firstLine="616" w:firstLineChars="200"/>
        <w:rPr>
          <w:rFonts w:hint="default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支出预算包括：农林水支出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149.01万元,主要用于发放11人员工资138.21万元、日常公用支出等。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新疆帕米尔高原湿地自然保护区管理站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新疆帕米尔高原湿地自然保护区管理站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年一般公共预算拨款基本支出143.01万元，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比上年执行数减少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56.71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万元，下降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28.39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%。主要原因是：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1名干部退休，2020年预算未安排群众工作经费及生活补助费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；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8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1.一般公共</w:t>
      </w:r>
      <w:r>
        <w:rPr>
          <w:rFonts w:hint="eastAsia" w:ascii="仿宋_GB2312" w:eastAsia="仿宋_GB2312"/>
          <w:sz w:val="32"/>
          <w:szCs w:val="32"/>
          <w:lang w:eastAsia="zh-CN"/>
        </w:rPr>
        <w:t>预算农林水支出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213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149.01</w:t>
      </w:r>
      <w:r>
        <w:rPr>
          <w:rFonts w:hint="eastAsia" w:ascii="仿宋_GB2312" w:eastAsia="仿宋_GB2312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28.39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农林水支出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213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林业和草原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02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湿地保护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</w:t>
      </w:r>
      <w:r>
        <w:rPr>
          <w:rFonts w:ascii="仿宋_GB2312" w:hAnsi="宋体" w:eastAsia="仿宋_GB2312" w:cs="宋体"/>
          <w:kern w:val="0"/>
          <w:sz w:val="32"/>
          <w:szCs w:val="32"/>
        </w:rPr>
        <w:t>）: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149.01</w:t>
      </w:r>
      <w:r>
        <w:rPr>
          <w:rFonts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ascii="仿宋_GB2312" w:hAnsi="宋体" w:eastAsia="仿宋_GB2312" w:cs="宋体"/>
          <w:color w:val="333F50" w:themeColor="text2" w:themeShade="BF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333F50" w:themeColor="text2" w:themeShade="BF"/>
          <w:kern w:val="0"/>
          <w:sz w:val="32"/>
          <w:szCs w:val="32"/>
        </w:rPr>
        <w:t>比上年执行数减少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259.71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63.54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1名干部退休，工资津贴补贴、福利费、公共经费减少，2020年预算未安排群众工作经费及生活补助费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；中央专项资金与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2019年预算相比减少。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新疆帕米尔高原湿地自然保护区管理站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新疆帕米尔高原湿地自然保护区管理站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年一般公共预算基本支出143.01万元，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136.50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31.5万元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67.06万元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2.63万元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14.74万元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7.93万元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10.74万元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、退休费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1.90万元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、奖励金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1.60万元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、邮电费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、取暖费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0.95万元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、差旅费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、维修（护）费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、工会经费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1.27万元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、公务用车运行维护费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0.50万元。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新疆帕米尔高原湿地自然保护区管理站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湿地保护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  <w:t>与宣传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新疆帕米尔高原湿地自然保护区管理站实施方案。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湿地自然保护区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  <w:t>新疆帕米尔高原湿地自然保护区管理站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开展宣传工作印刷费2万元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开展湿地保护管理运行费2万元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维护、管护宣传牌警示牌等劳务费2万元。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新疆帕米尔高原湿地自然保护区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2017年退牧还湿项目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（关于对新疆帕米尔高原湿地自然保护区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2017年中央财政湿地补助退牧还湿项目实施方案的批复）</w:t>
      </w:r>
      <w:r>
        <w:rPr>
          <w:rFonts w:hint="eastAsia" w:ascii="仿宋_GB2312" w:eastAsia="仿宋_GB2312"/>
          <w:sz w:val="32"/>
          <w:szCs w:val="32"/>
        </w:rPr>
        <w:t>（新林计字【2018】123号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)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湿地自然保护区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新疆帕米尔高原湿地自然保护区管理站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2018年实施项目资金288.36万元，2019年25.25万元，2020年86.38万元。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2018-2020年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新疆帕米尔高原湿地自然保护区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2018年湿地生态效益补助项目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（关于对帕米尔高原湿地自然保护区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2018年中央财政湿地生态效益补偿资金建设项目实施方案的批复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（新林计字【2018】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1378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)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湿地自然保护区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新疆帕米尔高原湿地自然保护区管理站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资金</w:t>
      </w:r>
      <w:r>
        <w:rPr>
          <w:rFonts w:ascii="仿宋_GB2312" w:hAnsi="黑体" w:eastAsia="仿宋_GB2312"/>
          <w:sz w:val="32"/>
          <w:szCs w:val="32"/>
        </w:rPr>
        <w:t>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该项目从2019年开始实施，2019年实施78.45万元，2020年计划使用资金71.55万元。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2019-2020年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新疆帕米尔高原湿地自然保护区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2019年中央财政林业改革发展资金。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（关于对新疆帕米尔高原湿地自然保护区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2019年中央财政林业改革发展资金（湿地补助-湿地生态效益项目实施方案的批复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（新林计字【201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1028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)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湿地自然保护区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新疆帕米尔高原湿地自然保护区管理站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计划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2020年实施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新疆帕米尔高原湿地自然保护区管理站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新疆帕米尔高原湿地自然保护区管理站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，未安排预算。[或公务用车购置费增加（减少）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]；公务用车运行费减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2020年预算交通费按项目实施方案内容安排部分金额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；公务接待费增加（减少）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湿地保护站是林草局下属单位，无接待任务未安排预算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新疆帕米尔高原湿地自然保护区管理站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新疆帕米尔高原湿地自然保护区管理站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新疆帕米尔高原湿地自然保护区管理站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本级及下属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家行政单位和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家事业单位的机关运行经费财政拨款预算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5.67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在职转退休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致使公用经费、工会费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、福利费相应的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新疆帕米尔高原湿地自然保护区管理站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及下属单位政府采购预算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40.2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38.7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万元，政府采购工程预算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2020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38.7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1.5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新疆帕米尔高原湿地自然保护区管理站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部门及下属各预算单位占用使用国有资产总体情况为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1.房屋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107.96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20.55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万元；其中：一般公务用车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万元；其他车辆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20.55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8.33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FF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368.83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年部门预算未安排购置车辆经费（或安排购置车辆经费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万元），安排购置50万元以上大型设备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363.94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13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新疆帕米尔高原湿地自然保护区管理站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湿地保护与宣传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6万元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6万元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开展湿地保护与宣传工作，提高当地农牧民群众对湿地意识，保障湿地保护日常工作顺利开展。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开展湿地保护管理运行费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=2万元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2019年2月开始实施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2019年2月-2019年12月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开展湿地保护宣传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湿地保护面积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=1256平方公里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年底进行绩效评价，评价结果公开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改善湿地生态环境意率识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有所提高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湿地保护与宣传项目的实施使湿地生态环境改善、有助于保护区牧业生产条件改善，增加可持续生产能力。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有所提高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湿地自然保护区村民生态环保意识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湿地保护与宣传项目的实施使湿地生态环境改善、有助于保护区牧业生产条件改善，增加可持续生产能力。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开展湿地保护与宣传工作满意度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新疆帕米尔高原湿地自然保护区管理站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新疆帕米尔高原湿地自然保护区2017年退牧还湿项目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40.2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40.2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2020年10名继续聘用现有的管护人员，安装界桩、界碑260个，完善监测平台支付剩余20%的资金。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聘用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10名管护员工资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（元）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每人每月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项目实地完成时效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湿地保护面积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（平方公里）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=1256平方公里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继续聘用现有管护人员（人）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=10人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安装界桩、界碑数量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（个）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260个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湿地自然保护区村民生态环保意识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提高社会群众湿地保护意识、湿地功能价值的认识，增强湿地保护意识，使保护区的生态效益、社会效益得到充分发挥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维持湿地生物多样性，改善湿地生态环境。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增强湿地生态功能，保护生态多样性，加强湿地保护管理能力建设。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开展湿地保护工作满意度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新疆帕米尔高原湿地自然保护区管理站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2018年湿地生态效益补助项目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71.5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71.5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继续实施围栏维修工程，宣教中心场地装修及布设，开展专业技术培训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2次，印刷宣传材料开展湿地保护宣传等。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100平米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宣教中心场地装修及布设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项目实地完成时效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2019年2月-12月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围栏维修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4410米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                    开展湿地保护技术培训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湿地自然保护区村民生态环保意识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提高社会群众湿地保护意识、湿地功能价值的认识，增强湿地保护意识，使保护区的生态效益、社会效益得到充分发挥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维持湿地生物多样性，改善湿地生态环境。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增强湿地生态功能，保护生态多样性，加强湿地保护管理能力建设。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开展湿地保护工作满意度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  <w:lang w:eastAsia="zh-CN"/>
        </w:r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新疆帕米尔高原湿地自然保护区管理站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新疆帕米尔高原湿地自然保护区2019年中央财政林业改革发展资金（湿地补助-湿地生态效益）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在保护区实验区内进行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12次垃圾清理工程，完善管护设备；开展湿地资源监测调查；开展生物多样性监测及自然教育；开展管护工程建设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开展环境治理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12次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5.1万元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项目实施时效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2019年1月-12月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开展生物多样性监测及自然教育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环境治理参加人数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湿地生态环境质量年度报告编制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湿地自然保护区村民生态环保意识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提高社会群众湿地保护意识、湿地功能价值的认识，增强湿地保护意识，使保护区的生态效益、社会效益得到充分发挥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维持湿地生物多样性，改善湿地生态环境。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增强湿地生态功能，保护生态多样性，加强湿地保护管理能力建设。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开展湿地保护工作满意度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numPr>
          <w:ilvl w:val="0"/>
          <w:numId w:val="0"/>
        </w:numPr>
        <w:spacing w:line="52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21"/>
          <w:cols w:space="425" w:num="1"/>
          <w:docGrid w:type="lines" w:linePitch="312" w:charSpace="0"/>
        </w:sect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新疆帕米尔高原湿地</w:t>
      </w:r>
      <w:r>
        <w:rPr>
          <w:rFonts w:hint="eastAsia" w:eastAsia="仿宋_GB2312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2611755</wp:posOffset>
            </wp:positionH>
            <wp:positionV relativeFrom="paragraph">
              <wp:posOffset>-855345</wp:posOffset>
            </wp:positionV>
            <wp:extent cx="2307590" cy="2216150"/>
            <wp:effectExtent l="0" t="194310" r="0" b="218440"/>
            <wp:wrapNone/>
            <wp:docPr id="2" name="图片 2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an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7F4FB">
                            <a:alpha val="100000"/>
                          </a:srgbClr>
                        </a:clrFrom>
                        <a:clrTo>
                          <a:srgbClr val="F7F4FB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9180000">
                      <a:off x="0" y="0"/>
                      <a:ext cx="230759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自然保护区管理站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  <w:bookmarkStart w:id="0" w:name="_GoBack"/>
      <w:bookmarkEnd w:id="0"/>
    </w:p>
    <w:p/>
    <w:p/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sectPr>
      <w:pgSz w:w="11906" w:h="16838"/>
      <w:pgMar w:top="1985" w:right="1531" w:bottom="1843" w:left="1531" w:header="851" w:footer="992" w:gutter="0"/>
      <w:pgNumType w:fmt="numberInDash" w:start="22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487229"/>
    <w:multiLevelType w:val="singleLevel"/>
    <w:tmpl w:val="BE48722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21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D5"/>
    <w:rsid w:val="00012D28"/>
    <w:rsid w:val="00032AE8"/>
    <w:rsid w:val="000343F0"/>
    <w:rsid w:val="000D56B0"/>
    <w:rsid w:val="00106382"/>
    <w:rsid w:val="00114DEC"/>
    <w:rsid w:val="001934F0"/>
    <w:rsid w:val="002102CA"/>
    <w:rsid w:val="00324290"/>
    <w:rsid w:val="00387451"/>
    <w:rsid w:val="00432267"/>
    <w:rsid w:val="00481CD5"/>
    <w:rsid w:val="005C42E0"/>
    <w:rsid w:val="008160EE"/>
    <w:rsid w:val="009D0AA2"/>
    <w:rsid w:val="00B22D8A"/>
    <w:rsid w:val="00D06D6F"/>
    <w:rsid w:val="00E469CA"/>
    <w:rsid w:val="00E7167C"/>
    <w:rsid w:val="016E539F"/>
    <w:rsid w:val="02632809"/>
    <w:rsid w:val="03297BC0"/>
    <w:rsid w:val="033B03ED"/>
    <w:rsid w:val="0367194D"/>
    <w:rsid w:val="04AC1968"/>
    <w:rsid w:val="04E04835"/>
    <w:rsid w:val="05917F0C"/>
    <w:rsid w:val="08B23BBC"/>
    <w:rsid w:val="08C438A0"/>
    <w:rsid w:val="08FC1725"/>
    <w:rsid w:val="098202BD"/>
    <w:rsid w:val="098505BC"/>
    <w:rsid w:val="0B4C4B1B"/>
    <w:rsid w:val="0D1A5550"/>
    <w:rsid w:val="0E985D4D"/>
    <w:rsid w:val="0F690606"/>
    <w:rsid w:val="10A03934"/>
    <w:rsid w:val="113553D9"/>
    <w:rsid w:val="12545B81"/>
    <w:rsid w:val="139175C7"/>
    <w:rsid w:val="149D603A"/>
    <w:rsid w:val="15E46964"/>
    <w:rsid w:val="160F5209"/>
    <w:rsid w:val="16D94043"/>
    <w:rsid w:val="1773620D"/>
    <w:rsid w:val="17D01845"/>
    <w:rsid w:val="18456E54"/>
    <w:rsid w:val="19413A2E"/>
    <w:rsid w:val="1A0E68F2"/>
    <w:rsid w:val="1A985FF5"/>
    <w:rsid w:val="1B7A1564"/>
    <w:rsid w:val="1C4B62B0"/>
    <w:rsid w:val="1D3D04B9"/>
    <w:rsid w:val="1DA203A2"/>
    <w:rsid w:val="1DE33198"/>
    <w:rsid w:val="1EBA5ECD"/>
    <w:rsid w:val="1EE507D9"/>
    <w:rsid w:val="1F830F3B"/>
    <w:rsid w:val="20CB13A7"/>
    <w:rsid w:val="22FA3E55"/>
    <w:rsid w:val="22FF0AB5"/>
    <w:rsid w:val="23111362"/>
    <w:rsid w:val="234E6A1B"/>
    <w:rsid w:val="23806C00"/>
    <w:rsid w:val="23975178"/>
    <w:rsid w:val="23B7630A"/>
    <w:rsid w:val="243D119D"/>
    <w:rsid w:val="24F269FC"/>
    <w:rsid w:val="2579377D"/>
    <w:rsid w:val="27BE4B2C"/>
    <w:rsid w:val="2807470A"/>
    <w:rsid w:val="286677AE"/>
    <w:rsid w:val="2B11227B"/>
    <w:rsid w:val="2B606BC7"/>
    <w:rsid w:val="2BDF62EF"/>
    <w:rsid w:val="2C84062D"/>
    <w:rsid w:val="2D1D2917"/>
    <w:rsid w:val="30061E42"/>
    <w:rsid w:val="303E586D"/>
    <w:rsid w:val="30690D1D"/>
    <w:rsid w:val="30901CAD"/>
    <w:rsid w:val="31352AAC"/>
    <w:rsid w:val="31C40171"/>
    <w:rsid w:val="31E023F5"/>
    <w:rsid w:val="321137CF"/>
    <w:rsid w:val="32DA131B"/>
    <w:rsid w:val="35934ECB"/>
    <w:rsid w:val="37501C1E"/>
    <w:rsid w:val="38340B98"/>
    <w:rsid w:val="3AC74599"/>
    <w:rsid w:val="3D336489"/>
    <w:rsid w:val="3E241D11"/>
    <w:rsid w:val="3E282775"/>
    <w:rsid w:val="3F096967"/>
    <w:rsid w:val="40FE0648"/>
    <w:rsid w:val="42A04B83"/>
    <w:rsid w:val="42A80202"/>
    <w:rsid w:val="42F93C42"/>
    <w:rsid w:val="43566F9B"/>
    <w:rsid w:val="43AE45BC"/>
    <w:rsid w:val="4429278E"/>
    <w:rsid w:val="446E2B85"/>
    <w:rsid w:val="454E00E8"/>
    <w:rsid w:val="46C3058C"/>
    <w:rsid w:val="4758277E"/>
    <w:rsid w:val="47E0566F"/>
    <w:rsid w:val="47E302F8"/>
    <w:rsid w:val="492B301A"/>
    <w:rsid w:val="49C5553A"/>
    <w:rsid w:val="49CE0654"/>
    <w:rsid w:val="4A5A5EF0"/>
    <w:rsid w:val="4C8F1B6B"/>
    <w:rsid w:val="4E2136CC"/>
    <w:rsid w:val="50096DBE"/>
    <w:rsid w:val="50105489"/>
    <w:rsid w:val="51E5266F"/>
    <w:rsid w:val="520C4B5F"/>
    <w:rsid w:val="526A4E39"/>
    <w:rsid w:val="52A62056"/>
    <w:rsid w:val="52AE7CEB"/>
    <w:rsid w:val="534F2DAE"/>
    <w:rsid w:val="54274482"/>
    <w:rsid w:val="545B7895"/>
    <w:rsid w:val="55E3141E"/>
    <w:rsid w:val="564A434F"/>
    <w:rsid w:val="56F327E7"/>
    <w:rsid w:val="5934453C"/>
    <w:rsid w:val="5AE61635"/>
    <w:rsid w:val="5BA32A53"/>
    <w:rsid w:val="5BDE2855"/>
    <w:rsid w:val="5C676E5C"/>
    <w:rsid w:val="5D980BC8"/>
    <w:rsid w:val="5DC649FF"/>
    <w:rsid w:val="5EF4095E"/>
    <w:rsid w:val="5F1D1E9F"/>
    <w:rsid w:val="5FAE7D1F"/>
    <w:rsid w:val="5FCA15E8"/>
    <w:rsid w:val="60176496"/>
    <w:rsid w:val="604753D8"/>
    <w:rsid w:val="61594499"/>
    <w:rsid w:val="62D62E3C"/>
    <w:rsid w:val="637B095D"/>
    <w:rsid w:val="637E0FF9"/>
    <w:rsid w:val="63D119CA"/>
    <w:rsid w:val="640E5303"/>
    <w:rsid w:val="65736AA2"/>
    <w:rsid w:val="657F4346"/>
    <w:rsid w:val="65BD0D1C"/>
    <w:rsid w:val="6757434F"/>
    <w:rsid w:val="68EE3261"/>
    <w:rsid w:val="6A4E560A"/>
    <w:rsid w:val="6B855DA6"/>
    <w:rsid w:val="6BBC0993"/>
    <w:rsid w:val="6C9671D0"/>
    <w:rsid w:val="6CC144FE"/>
    <w:rsid w:val="6D4457A0"/>
    <w:rsid w:val="6D845C80"/>
    <w:rsid w:val="6D947329"/>
    <w:rsid w:val="6E132E16"/>
    <w:rsid w:val="6F637469"/>
    <w:rsid w:val="6F9A7DE9"/>
    <w:rsid w:val="70242B40"/>
    <w:rsid w:val="702F646D"/>
    <w:rsid w:val="703C3DD5"/>
    <w:rsid w:val="70C91B42"/>
    <w:rsid w:val="70CB2EB8"/>
    <w:rsid w:val="716720F6"/>
    <w:rsid w:val="72051FC1"/>
    <w:rsid w:val="72741CDF"/>
    <w:rsid w:val="739D7885"/>
    <w:rsid w:val="73D8707B"/>
    <w:rsid w:val="745A7389"/>
    <w:rsid w:val="760F7A1B"/>
    <w:rsid w:val="77E17952"/>
    <w:rsid w:val="780377D7"/>
    <w:rsid w:val="797C4DE1"/>
    <w:rsid w:val="7B92230D"/>
    <w:rsid w:val="7C406766"/>
    <w:rsid w:val="7D961DA7"/>
    <w:rsid w:val="7E4C0F0C"/>
    <w:rsid w:val="7EAC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qFormat/>
    <w:uiPriority w:val="0"/>
    <w:rPr>
      <w:sz w:val="18"/>
      <w:szCs w:val="18"/>
      <w:lang w:val="zh-CN" w:eastAsia="zh-CN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20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  <w:lang w:val="zh-CN" w:eastAsia="zh-CN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qFormat/>
    <w:uiPriority w:val="99"/>
    <w:rPr>
      <w:sz w:val="18"/>
      <w:szCs w:val="18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5">
    <w:name w:val="批注框文本 字符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">
    <w:name w:val="页脚 字符1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  <w:lang w:val="zh-CN" w:eastAsia="zh-CN"/>
    </w:rPr>
  </w:style>
  <w:style w:type="character" w:customStyle="1" w:styleId="18">
    <w:name w:val="批注框文本 字符1"/>
    <w:link w:val="2"/>
    <w:semiHidden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9">
    <w:name w:val="页眉 字符1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0">
    <w:name w:val="正文文本缩进 3 字符1"/>
    <w:link w:val="5"/>
    <w:qFormat/>
    <w:uiPriority w:val="0"/>
    <w:rPr>
      <w:rFonts w:ascii="Times New Roman" w:hAnsi="Times New Roman" w:eastAsia="仿宋_GB2312" w:cs="Times New Roman"/>
      <w:sz w:val="32"/>
      <w:szCs w:val="24"/>
      <w:lang w:val="zh-CN" w:eastAsia="zh-CN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3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4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1576</Words>
  <Characters>8987</Characters>
  <Lines>74</Lines>
  <Paragraphs>21</Paragraphs>
  <TotalTime>1</TotalTime>
  <ScaleCrop>false</ScaleCrop>
  <LinksUpToDate>false</LinksUpToDate>
  <CharactersWithSpaces>10542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2020-01-09T08:29:00Z</dcterms:created>
  <dc:creator>穆斯塔帕</dc:creator>
  <cp:lastModifiedBy>Administrator</cp:lastModifiedBy>
  <cp:lastPrinted>2020-01-21T10:30:00Z</cp:lastPrinted>
  <dcterms:modified xsi:type="dcterms:W3CDTF">2020-01-29T16:42:06Z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