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中共克孜勒苏柯尔克孜自治州委员会宣传部2020年部门预算公开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5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第一部分中共克孜勒苏柯尔克孜自治州委员会宣传部单位概况</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5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5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一、关于中共克孜勒苏柯尔克孜自治州委员会宣传部2020年收支预算情况的总体说明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二、关于中共克孜勒苏柯尔克孜自治州委员会宣传部2020年收入预算情况说明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三、关于中共克孜勒苏柯尔克孜自治州委员会宣传部2020年支出预算情况说明</w:t>
      </w:r>
    </w:p>
    <w:p>
      <w:pPr>
        <w:widowControl/>
        <w:spacing w:line="5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中共克孜勒苏柯尔克孜自治州委员会宣传部2020年</w:t>
      </w:r>
      <w:r>
        <w:rPr>
          <w:rFonts w:hint="eastAsia" w:ascii="仿宋_GB2312" w:hAnsi="宋体" w:eastAsia="仿宋_GB2312"/>
          <w:bCs/>
          <w:kern w:val="0"/>
          <w:sz w:val="32"/>
          <w:szCs w:val="32"/>
        </w:rPr>
        <w:t>财政拨款收支预算情况的总体说明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五、关于中共克孜勒苏柯尔克孜自治州委员会宣传部2020年一般公共预算当年拨款情况说明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六、关于中共克孜勒苏柯尔克孜自治州委员会宣传部2020年一般公共预算基本支出情况说明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七、关于中共克孜勒苏柯尔克孜自治州委员会宣传部2020年项目支出情况说明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八、关于中共克孜勒苏柯尔克孜自治州委员会宣传部2020年一般公共预算“三公”经费预算情况说明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九、关于中共克孜勒苏柯尔克孜自治州委员会宣传部2020年政府性基金预算拨款情况说明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5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outlineLvl w:val="1"/>
        <w:rPr>
          <w:rFonts w:ascii="仿宋_GB2312" w:hAnsi="宋体" w:eastAsia="仿宋_GB2312"/>
          <w:b/>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中共克孜勒苏柯尔克孜自治州委员会宣传部</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pStyle w:val="6"/>
        <w:shd w:val="clear" w:color="auto" w:fill="FFFFFF"/>
        <w:spacing w:before="0" w:beforeAutospacing="0" w:after="0" w:afterAutospacing="0" w:line="560" w:lineRule="exact"/>
        <w:ind w:firstLine="482"/>
        <w:rPr>
          <w:rFonts w:ascii="仿宋_GB2312" w:hAnsi="黑体" w:eastAsia="仿宋_GB2312"/>
          <w:bCs/>
          <w:sz w:val="32"/>
          <w:szCs w:val="32"/>
        </w:rPr>
      </w:pPr>
      <w:r>
        <w:rPr>
          <w:rFonts w:hint="eastAsia" w:ascii="仿宋_GB2312" w:hAnsi="黑体" w:eastAsia="仿宋_GB2312"/>
          <w:bCs/>
          <w:sz w:val="32"/>
          <w:szCs w:val="32"/>
        </w:rPr>
        <w:t>（一）拟定宣传思想文化工作重大方针政策和事业发展总体规划，按照自治区、自治州党委统一部署，协调宣传思想文化系统各部门之间的工作。</w:t>
      </w:r>
    </w:p>
    <w:p>
      <w:pPr>
        <w:pStyle w:val="6"/>
        <w:shd w:val="clear" w:color="auto" w:fill="FFFFFF"/>
        <w:spacing w:before="0" w:beforeAutospacing="0" w:after="0" w:afterAutospacing="0" w:line="560" w:lineRule="exact"/>
        <w:ind w:firstLine="482"/>
        <w:rPr>
          <w:rFonts w:ascii="仿宋_GB2312" w:hAnsi="黑体" w:eastAsia="仿宋_GB2312"/>
          <w:bCs/>
          <w:sz w:val="32"/>
          <w:szCs w:val="32"/>
        </w:rPr>
      </w:pPr>
      <w:r>
        <w:rPr>
          <w:rFonts w:hint="eastAsia" w:ascii="仿宋_GB2312" w:hAnsi="黑体" w:eastAsia="仿宋_GB2312"/>
          <w:bCs/>
          <w:sz w:val="32"/>
          <w:szCs w:val="32"/>
        </w:rPr>
        <w:t>（二）统筹协调党的意识形态工作，贯彻落实自治区、自治州党委关于意识形态工作决策部署，组织协调意识形态工作责任制落实和日常监督检查，结合巡视巡察工作开展专项检查。</w:t>
      </w:r>
    </w:p>
    <w:p>
      <w:pPr>
        <w:pStyle w:val="6"/>
        <w:shd w:val="clear" w:color="auto" w:fill="FFFFFF"/>
        <w:spacing w:before="0" w:beforeAutospacing="0" w:after="0" w:afterAutospacing="0" w:line="560" w:lineRule="exact"/>
        <w:ind w:firstLine="482"/>
        <w:rPr>
          <w:rFonts w:ascii="仿宋_GB2312" w:hAnsi="黑体" w:eastAsia="仿宋_GB2312"/>
          <w:bCs/>
          <w:sz w:val="32"/>
          <w:szCs w:val="32"/>
        </w:rPr>
      </w:pPr>
      <w:r>
        <w:rPr>
          <w:rFonts w:hint="eastAsia" w:ascii="仿宋_GB2312" w:hAnsi="黑体" w:eastAsia="仿宋_GB2312"/>
          <w:bCs/>
          <w:sz w:val="32"/>
          <w:szCs w:val="32"/>
        </w:rPr>
        <w:t>（三）统筹指导协调自治州理论研究、理论学习、理论宣传工作，组织推动理论武装工作。</w:t>
      </w:r>
    </w:p>
    <w:p>
      <w:pPr>
        <w:pStyle w:val="6"/>
        <w:shd w:val="clear" w:color="auto" w:fill="FFFFFF"/>
        <w:spacing w:before="0" w:beforeAutospacing="0" w:after="0" w:afterAutospacing="0" w:line="560" w:lineRule="exact"/>
        <w:ind w:firstLine="482"/>
        <w:rPr>
          <w:rFonts w:ascii="仿宋_GB2312" w:hAnsi="黑体" w:eastAsia="仿宋_GB2312"/>
          <w:bCs/>
          <w:sz w:val="32"/>
          <w:szCs w:val="32"/>
        </w:rPr>
      </w:pPr>
      <w:r>
        <w:rPr>
          <w:rFonts w:hint="eastAsia" w:ascii="仿宋_GB2312" w:hAnsi="黑体" w:eastAsia="仿宋_GB2312"/>
          <w:bCs/>
          <w:sz w:val="32"/>
          <w:szCs w:val="32"/>
        </w:rPr>
        <w:t>（四）负责规划组织领导自治州思想政治工作和群众性精神文明建设活动；与克孜勒苏军分区共同组织全州国防教育工作；配合自治州党委组织部做好党员教育工作；会同有关部门研究和改进群众思想教育工作。</w:t>
      </w:r>
    </w:p>
    <w:p>
      <w:pPr>
        <w:pStyle w:val="6"/>
        <w:shd w:val="clear" w:color="auto" w:fill="FFFFFF"/>
        <w:spacing w:before="0" w:beforeAutospacing="0" w:after="0" w:afterAutospacing="0" w:line="560" w:lineRule="exact"/>
        <w:ind w:firstLine="482"/>
        <w:rPr>
          <w:rFonts w:ascii="仿宋_GB2312" w:hAnsi="黑体" w:eastAsia="仿宋_GB2312"/>
          <w:bCs/>
          <w:sz w:val="32"/>
          <w:szCs w:val="32"/>
        </w:rPr>
      </w:pPr>
      <w:r>
        <w:rPr>
          <w:rFonts w:hint="eastAsia" w:ascii="仿宋_GB2312" w:hAnsi="黑体" w:eastAsia="仿宋_GB2312"/>
          <w:bCs/>
          <w:sz w:val="32"/>
          <w:szCs w:val="32"/>
        </w:rPr>
        <w:t>（五）统筹分析研判和引导社会舆论，指导协调自治州各新闻单位工作，组织自治州突发公共事件应急新闻工作。承担自治州突发公共事件应急新闻中心日常工作。</w:t>
      </w:r>
    </w:p>
    <w:p>
      <w:pPr>
        <w:pStyle w:val="6"/>
        <w:shd w:val="clear" w:color="auto" w:fill="FFFFFF"/>
        <w:spacing w:before="0" w:beforeAutospacing="0" w:after="0" w:afterAutospacing="0" w:line="560" w:lineRule="exact"/>
        <w:ind w:firstLine="482"/>
        <w:rPr>
          <w:rFonts w:ascii="仿宋_GB2312" w:hAnsi="黑体" w:eastAsia="仿宋_GB2312"/>
          <w:bCs/>
          <w:sz w:val="32"/>
          <w:szCs w:val="32"/>
        </w:rPr>
      </w:pPr>
      <w:r>
        <w:rPr>
          <w:rFonts w:hint="eastAsia" w:ascii="仿宋_GB2312" w:hAnsi="黑体" w:eastAsia="仿宋_GB2312"/>
          <w:bCs/>
          <w:sz w:val="32"/>
          <w:szCs w:val="32"/>
        </w:rPr>
        <w:t>（六）拟定新闻出版业的管理政策并督促落实，管理新闻出版行政事务，组织协调有关行政审批工作，统筹规划和指导协调新闻出版事业、产业发展，监督管理出版物内容和质量，监督管理印刷业，管理著作权。组织指导协调自治州“扫黄打非”工作。负责克孜勒苏日报社的监督管理。</w:t>
      </w:r>
    </w:p>
    <w:p>
      <w:pPr>
        <w:pStyle w:val="6"/>
        <w:shd w:val="clear" w:color="auto" w:fill="FFFFFF"/>
        <w:spacing w:before="0" w:beforeAutospacing="0" w:after="0" w:afterAutospacing="0" w:line="560" w:lineRule="exact"/>
        <w:ind w:firstLine="482"/>
        <w:rPr>
          <w:rFonts w:ascii="仿宋_GB2312" w:hAnsi="黑体" w:eastAsia="仿宋_GB2312"/>
          <w:bCs/>
          <w:sz w:val="32"/>
          <w:szCs w:val="32"/>
        </w:rPr>
      </w:pPr>
      <w:r>
        <w:rPr>
          <w:rFonts w:hint="eastAsia" w:ascii="仿宋_GB2312" w:hAnsi="黑体" w:eastAsia="仿宋_GB2312"/>
          <w:bCs/>
          <w:sz w:val="32"/>
          <w:szCs w:val="32"/>
        </w:rPr>
        <w:t>（七）统筹指导协调自治州互联网宣传和信息内容管理工作。统筹协调数字新媒体的建设与管理。</w:t>
      </w:r>
    </w:p>
    <w:p>
      <w:pPr>
        <w:pStyle w:val="6"/>
        <w:shd w:val="clear" w:color="auto" w:fill="FFFFFF"/>
        <w:spacing w:before="0" w:beforeAutospacing="0" w:after="0" w:afterAutospacing="0" w:line="560" w:lineRule="exact"/>
        <w:ind w:firstLine="482"/>
        <w:rPr>
          <w:rFonts w:ascii="仿宋_GB2312" w:hAnsi="黑体" w:eastAsia="仿宋_GB2312"/>
          <w:bCs/>
          <w:sz w:val="32"/>
          <w:szCs w:val="32"/>
        </w:rPr>
      </w:pPr>
      <w:r>
        <w:rPr>
          <w:rFonts w:hint="eastAsia" w:ascii="仿宋_GB2312" w:hAnsi="黑体" w:eastAsia="仿宋_GB2312"/>
          <w:bCs/>
          <w:sz w:val="32"/>
          <w:szCs w:val="32"/>
        </w:rPr>
        <w:t>（八）负责组织实施自治州精神文明建设规划、协调、指导、创建工作，负责规划和统筹协调自治州未成年人思想道德建设工作。统筹指导协调推动精神文化产品的创作和生产，协调组织中华优秀传统文化传承发展有关工作，指导协调推动协调推动群众文化建设。</w:t>
      </w:r>
    </w:p>
    <w:p>
      <w:pPr>
        <w:pStyle w:val="6"/>
        <w:shd w:val="clear" w:color="auto" w:fill="FFFFFF"/>
        <w:spacing w:before="0" w:beforeAutospacing="0" w:after="0" w:afterAutospacing="0" w:line="560" w:lineRule="exact"/>
        <w:ind w:firstLine="482"/>
        <w:rPr>
          <w:rFonts w:ascii="仿宋_GB2312" w:hAnsi="黑体" w:eastAsia="仿宋_GB2312"/>
          <w:bCs/>
          <w:sz w:val="32"/>
          <w:szCs w:val="32"/>
        </w:rPr>
      </w:pPr>
      <w:r>
        <w:rPr>
          <w:rFonts w:hint="eastAsia" w:ascii="仿宋_GB2312" w:hAnsi="黑体" w:eastAsia="仿宋_GB2312"/>
          <w:bCs/>
          <w:sz w:val="32"/>
          <w:szCs w:val="32"/>
        </w:rPr>
        <w:t>（九）负责全州宣传文化产品的审读鉴定，对全州审读鉴定工作进行集中统一管理，做好全州审读工作组织协调、督查落实、指导管理，推进审读工作体系化建设。</w:t>
      </w:r>
    </w:p>
    <w:p>
      <w:pPr>
        <w:pStyle w:val="6"/>
        <w:shd w:val="clear" w:color="auto" w:fill="FFFFFF"/>
        <w:spacing w:before="0" w:beforeAutospacing="0" w:after="0" w:afterAutospacing="0" w:line="560" w:lineRule="exact"/>
        <w:ind w:firstLine="482"/>
        <w:rPr>
          <w:rFonts w:ascii="仿宋_GB2312" w:hAnsi="黑体" w:eastAsia="仿宋_GB2312"/>
          <w:bCs/>
          <w:sz w:val="32"/>
          <w:szCs w:val="32"/>
        </w:rPr>
      </w:pPr>
      <w:r>
        <w:rPr>
          <w:rFonts w:hint="eastAsia" w:ascii="仿宋_GB2312" w:hAnsi="黑体" w:eastAsia="仿宋_GB2312"/>
          <w:bCs/>
          <w:sz w:val="32"/>
          <w:szCs w:val="32"/>
        </w:rPr>
        <w:t>（十）负责管理电影行政事务，指导监管电影制片、发行、放映工作，组织对电影内容进行审查，指导协调全州性重大电影活动等。</w:t>
      </w:r>
    </w:p>
    <w:p>
      <w:pPr>
        <w:pStyle w:val="6"/>
        <w:shd w:val="clear" w:color="auto" w:fill="FFFFFF"/>
        <w:spacing w:before="0" w:beforeAutospacing="0" w:after="0" w:afterAutospacing="0" w:line="560" w:lineRule="exact"/>
        <w:ind w:firstLine="482"/>
        <w:rPr>
          <w:rFonts w:ascii="仿宋_GB2312" w:hAnsi="黑体" w:eastAsia="仿宋_GB2312"/>
          <w:bCs/>
          <w:sz w:val="32"/>
          <w:szCs w:val="32"/>
        </w:rPr>
      </w:pPr>
      <w:r>
        <w:rPr>
          <w:rFonts w:hint="eastAsia" w:ascii="仿宋_GB2312" w:hAnsi="黑体" w:eastAsia="仿宋_GB2312"/>
          <w:bCs/>
          <w:sz w:val="32"/>
          <w:szCs w:val="32"/>
        </w:rPr>
        <w:t>（十一）对新闻出版、广播影视、文化艺术业改革发展研究提出政策性建议，统筹指导协调文化体制改革和文化事业、文化产业及旅游业发展，指导协调国有文化资产监管工作。承担自治州文化体制改革和文化产业发展工作领导小组办公室日常工作。</w:t>
      </w:r>
    </w:p>
    <w:p>
      <w:pPr>
        <w:pStyle w:val="6"/>
        <w:shd w:val="clear" w:color="auto" w:fill="FFFFFF"/>
        <w:spacing w:before="0" w:beforeAutospacing="0" w:after="0" w:afterAutospacing="0" w:line="560" w:lineRule="exact"/>
        <w:ind w:firstLine="482"/>
        <w:rPr>
          <w:rFonts w:ascii="仿宋_GB2312" w:hAnsi="黑体" w:eastAsia="仿宋_GB2312"/>
          <w:bCs/>
          <w:sz w:val="32"/>
          <w:szCs w:val="32"/>
        </w:rPr>
      </w:pPr>
      <w:r>
        <w:rPr>
          <w:rFonts w:hint="eastAsia" w:ascii="仿宋_GB2312" w:hAnsi="黑体" w:eastAsia="仿宋_GB2312"/>
          <w:bCs/>
          <w:sz w:val="32"/>
          <w:szCs w:val="32"/>
        </w:rPr>
        <w:t>（十二）统筹指导舆情信息工作，组织协调开展州内外舆情信息收集分析研判工作，跟踪了解、研究掌握宣传舆情动态。</w:t>
      </w:r>
    </w:p>
    <w:p>
      <w:pPr>
        <w:pStyle w:val="6"/>
        <w:shd w:val="clear" w:color="auto" w:fill="FFFFFF"/>
        <w:spacing w:before="0" w:beforeAutospacing="0" w:after="0" w:afterAutospacing="0" w:line="560" w:lineRule="exact"/>
        <w:ind w:firstLine="482"/>
        <w:rPr>
          <w:rFonts w:ascii="仿宋_GB2312" w:hAnsi="黑体" w:eastAsia="仿宋_GB2312"/>
          <w:bCs/>
          <w:sz w:val="32"/>
          <w:szCs w:val="32"/>
        </w:rPr>
      </w:pPr>
      <w:r>
        <w:rPr>
          <w:rFonts w:hint="eastAsia" w:ascii="仿宋_GB2312" w:hAnsi="黑体" w:eastAsia="仿宋_GB2312"/>
          <w:bCs/>
          <w:sz w:val="32"/>
          <w:szCs w:val="32"/>
        </w:rPr>
        <w:t>（十三）统筹协调对外宣传工作，紧紧围绕自治州党委的中心工作，指导协调有关部门研究拟订对外宣传工作方案、重大方针政策和对外宣传事业发展总体规划。</w:t>
      </w:r>
    </w:p>
    <w:p>
      <w:pPr>
        <w:pStyle w:val="6"/>
        <w:shd w:val="clear" w:color="auto" w:fill="FFFFFF"/>
        <w:spacing w:before="0" w:beforeAutospacing="0" w:after="0" w:afterAutospacing="0" w:line="560" w:lineRule="exact"/>
        <w:ind w:firstLine="482"/>
        <w:rPr>
          <w:rFonts w:ascii="仿宋_GB2312" w:hAnsi="黑体" w:eastAsia="仿宋_GB2312"/>
          <w:bCs/>
          <w:sz w:val="32"/>
          <w:szCs w:val="32"/>
        </w:rPr>
      </w:pPr>
      <w:r>
        <w:rPr>
          <w:rFonts w:hint="eastAsia" w:ascii="仿宋_GB2312" w:hAnsi="黑体" w:eastAsia="仿宋_GB2312"/>
          <w:bCs/>
          <w:sz w:val="32"/>
          <w:szCs w:val="32"/>
        </w:rPr>
        <w:t>（十四）统筹协调组织开展新闻发布工作，承担自治州新闻发布有关组织协调工作，负责自治州人民政府新闻发布组织实施工作，指导协调自治州人民政府各部门和县（市）的新闻发布工作，推动新闻发言制度建设。</w:t>
      </w:r>
    </w:p>
    <w:p>
      <w:pPr>
        <w:pStyle w:val="6"/>
        <w:shd w:val="clear" w:color="auto" w:fill="FFFFFF"/>
        <w:spacing w:before="0" w:beforeAutospacing="0" w:after="0" w:afterAutospacing="0" w:line="560" w:lineRule="exact"/>
        <w:ind w:firstLine="482"/>
        <w:rPr>
          <w:rFonts w:ascii="仿宋_GB2312" w:hAnsi="黑体" w:eastAsia="仿宋_GB2312"/>
          <w:bCs/>
          <w:sz w:val="32"/>
          <w:szCs w:val="32"/>
        </w:rPr>
      </w:pPr>
      <w:r>
        <w:rPr>
          <w:rFonts w:hint="eastAsia" w:ascii="仿宋_GB2312" w:hAnsi="黑体" w:eastAsia="仿宋_GB2312"/>
          <w:bCs/>
          <w:sz w:val="32"/>
          <w:szCs w:val="32"/>
        </w:rPr>
        <w:t>（十五）负责人权宣传工作的组织协调，会同有关部门组织涉州方面对外宣传和舆论斗争工作，做好记者来州采访事务方面的工作。</w:t>
      </w:r>
    </w:p>
    <w:p>
      <w:pPr>
        <w:pStyle w:val="6"/>
        <w:shd w:val="clear" w:color="auto" w:fill="FFFFFF"/>
        <w:spacing w:before="0" w:beforeAutospacing="0" w:after="0" w:afterAutospacing="0" w:line="560" w:lineRule="exact"/>
        <w:ind w:firstLine="482"/>
        <w:rPr>
          <w:rFonts w:ascii="仿宋_GB2312" w:hAnsi="黑体" w:eastAsia="仿宋_GB2312"/>
          <w:bCs/>
          <w:sz w:val="32"/>
          <w:szCs w:val="32"/>
        </w:rPr>
      </w:pPr>
      <w:r>
        <w:rPr>
          <w:rFonts w:hint="eastAsia" w:ascii="仿宋_GB2312" w:hAnsi="黑体" w:eastAsia="仿宋_GB2312"/>
          <w:bCs/>
          <w:sz w:val="32"/>
          <w:szCs w:val="32"/>
        </w:rPr>
        <w:t>（十六）受自治州党委委托，会同自治州党委组织部管理新闻、文化、出版、社会科学研究等方面自治区宣传文化单位的领导干部。对县（市）党委宣传部部长</w:t>
      </w:r>
      <w:bookmarkStart w:id="0" w:name="_GoBack"/>
      <w:bookmarkEnd w:id="0"/>
      <w:r>
        <w:rPr>
          <w:rFonts w:hint="eastAsia" w:ascii="仿宋_GB2312" w:hAnsi="黑体" w:eastAsia="仿宋_GB2312"/>
          <w:bCs/>
          <w:sz w:val="32"/>
          <w:szCs w:val="32"/>
        </w:rPr>
        <w:t>的任免提出意见。负责有关重要宣传舆论阵地和重要领导干部管理。负责组织开展宣传思想文化系统干部教育培训和人才工作。组织协调自治州新闻、传、文艺和政工等系列专业技术职称审查推荐工作。</w:t>
      </w:r>
    </w:p>
    <w:p>
      <w:pPr>
        <w:widowControl/>
        <w:spacing w:line="560" w:lineRule="exact"/>
        <w:ind w:firstLine="630"/>
        <w:jc w:val="left"/>
        <w:rPr>
          <w:rFonts w:ascii="黑体" w:hAnsi="黑体" w:eastAsia="黑体" w:cs="宋体"/>
          <w:bCs/>
          <w:kern w:val="0"/>
          <w:sz w:val="32"/>
          <w:szCs w:val="32"/>
        </w:rPr>
      </w:pP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中共克孜勒苏柯尔克孜自治州委员会宣传部无下属预算单位，合署办公一个单位为克州社会科学界联合会。中共克孜勒苏柯尔克孜自治州委员会宣传部下设10个科室，分别是：办公室、宣传教育（电影）科、审读科、意识形态（新闻出版）工作科、文明创建科、外宣办、青少年科、扫黄办、国教办、讲师团。克州社会科学界联合会下设1个科室：办公室。</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中共克孜勒苏柯尔克孜自治州委员会宣传部</w:t>
      </w:r>
      <w:r>
        <w:rPr>
          <w:rFonts w:hint="eastAsia" w:ascii="仿宋_GB2312" w:hAnsi="宋体" w:eastAsia="仿宋_GB2312" w:cs="宋体"/>
          <w:kern w:val="0"/>
          <w:sz w:val="32"/>
          <w:szCs w:val="32"/>
        </w:rPr>
        <w:t>单位编制数34人，实有人数28人，其中：在职28人，增加1人； 退休5人，增加0人；离休1人，增加0人。</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克州社会科学界联合会编制数4人，</w:t>
      </w:r>
      <w:r>
        <w:rPr>
          <w:rFonts w:hint="eastAsia" w:ascii="仿宋_GB2312" w:hAnsi="宋体" w:eastAsia="仿宋_GB2312" w:cs="宋体"/>
          <w:kern w:val="0"/>
          <w:sz w:val="32"/>
          <w:szCs w:val="32"/>
        </w:rPr>
        <w:t>实有人数5人，其中：在职5人，增加1人； 退休1人，增加0人；离休0人，增加0人。</w:t>
      </w:r>
    </w:p>
    <w:p>
      <w:pPr>
        <w:widowControl/>
        <w:spacing w:line="560" w:lineRule="exact"/>
        <w:ind w:firstLine="640"/>
        <w:jc w:val="left"/>
        <w:rPr>
          <w:rFonts w:ascii="仿宋_GB2312" w:hAnsi="宋体" w:eastAsia="仿宋_GB2312" w:cs="宋体"/>
          <w:kern w:val="0"/>
          <w:sz w:val="32"/>
          <w:szCs w:val="32"/>
        </w:rPr>
      </w:pPr>
    </w:p>
    <w:p>
      <w:pPr>
        <w:widowControl/>
        <w:spacing w:line="560" w:lineRule="exact"/>
        <w:ind w:firstLine="640"/>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b/>
          <w:kern w:val="0"/>
          <w:sz w:val="32"/>
          <w:szCs w:val="32"/>
        </w:rPr>
      </w:pPr>
      <w:r>
        <w:rPr>
          <w:rFonts w:hint="eastAsia" w:ascii="仿宋_GB2312" w:hAnsi="宋体" w:eastAsia="仿宋_GB2312"/>
          <w:kern w:val="0"/>
          <w:sz w:val="24"/>
        </w:rPr>
        <w:t>填报部门：中共克孜勒苏柯尔克孜自治州委员会宣传部            单位：万元</w:t>
      </w:r>
    </w:p>
    <w:tbl>
      <w:tblPr>
        <w:tblStyle w:val="7"/>
        <w:tblW w:w="8662" w:type="dxa"/>
        <w:tblInd w:w="-34"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575.71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609.71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575.71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34.00</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609.71</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720" w:firstLineChars="4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　609.71</w:t>
            </w:r>
          </w:p>
        </w:tc>
      </w:tr>
      <w:tr>
        <w:tblPrEx>
          <w:tblLayout w:type="fixed"/>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609.71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609.71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填报部门：中共克孜勒苏柯尔克孜自治州委员会宣传部              单位：万元                                        </w:t>
      </w:r>
    </w:p>
    <w:tbl>
      <w:tblPr>
        <w:tblStyle w:val="7"/>
        <w:tblW w:w="11014" w:type="dxa"/>
        <w:tblInd w:w="-450" w:type="dxa"/>
        <w:tblLayout w:type="fixed"/>
        <w:tblCellMar>
          <w:top w:w="0" w:type="dxa"/>
          <w:left w:w="108" w:type="dxa"/>
          <w:bottom w:w="0" w:type="dxa"/>
          <w:right w:w="108" w:type="dxa"/>
        </w:tblCellMar>
      </w:tblPr>
      <w:tblGrid>
        <w:gridCol w:w="516"/>
        <w:gridCol w:w="417"/>
        <w:gridCol w:w="417"/>
        <w:gridCol w:w="690"/>
        <w:gridCol w:w="1037"/>
        <w:gridCol w:w="816"/>
        <w:gridCol w:w="680"/>
        <w:gridCol w:w="680"/>
        <w:gridCol w:w="680"/>
        <w:gridCol w:w="444"/>
        <w:gridCol w:w="545"/>
        <w:gridCol w:w="931"/>
        <w:gridCol w:w="716"/>
        <w:gridCol w:w="636"/>
        <w:gridCol w:w="1809"/>
      </w:tblGrid>
      <w:tr>
        <w:tblPrEx>
          <w:tblLayout w:type="fixed"/>
          <w:tblCellMar>
            <w:top w:w="0" w:type="dxa"/>
            <w:left w:w="108" w:type="dxa"/>
            <w:bottom w:w="0" w:type="dxa"/>
            <w:right w:w="108" w:type="dxa"/>
          </w:tblCellMar>
        </w:tblPrEx>
        <w:trPr>
          <w:trHeight w:val="510" w:hRule="atLeast"/>
        </w:trPr>
        <w:tc>
          <w:tcPr>
            <w:tcW w:w="1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69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10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44"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54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93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716"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63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8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8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69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03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44"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54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3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16"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63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8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201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33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6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行政运行（宣传事务）　</w:t>
            </w:r>
          </w:p>
        </w:tc>
        <w:tc>
          <w:tcPr>
            <w:tcW w:w="1037"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509.71　</w:t>
            </w:r>
          </w:p>
        </w:tc>
        <w:tc>
          <w:tcPr>
            <w:tcW w:w="816"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509.71　</w:t>
            </w: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54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shd w:val="clear" w:color="000000" w:fill="FFFFFF"/>
          </w:tcPr>
          <w:p>
            <w:pPr>
              <w:rPr>
                <w:rFonts w:ascii="仿宋_GB2312" w:eastAsia="仿宋_GB2312"/>
                <w:color w:val="000000"/>
                <w:sz w:val="20"/>
                <w:szCs w:val="20"/>
              </w:rPr>
            </w:pPr>
          </w:p>
          <w:p>
            <w:pPr>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9" w:type="dxa"/>
            <w:tcBorders>
              <w:top w:val="nil"/>
              <w:left w:val="nil"/>
              <w:bottom w:val="single" w:color="auto" w:sz="4" w:space="0"/>
              <w:right w:val="single" w:color="auto" w:sz="4" w:space="0"/>
            </w:tcBorders>
            <w:shd w:val="clear" w:color="000000" w:fill="FFFFFF"/>
            <w:noWrap/>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201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33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6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其他宣传事务支出　</w:t>
            </w:r>
          </w:p>
        </w:tc>
        <w:tc>
          <w:tcPr>
            <w:tcW w:w="10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100.00　</w:t>
            </w:r>
          </w:p>
        </w:tc>
        <w:tc>
          <w:tcPr>
            <w:tcW w:w="8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66.00　</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54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rPr>
                <w:rFonts w:ascii="仿宋_GB2312" w:eastAsia="仿宋_GB2312"/>
                <w:color w:val="000000"/>
                <w:sz w:val="20"/>
                <w:szCs w:val="20"/>
              </w:rPr>
            </w:pPr>
          </w:p>
          <w:p>
            <w:pPr>
              <w:rPr>
                <w:rFonts w:ascii="仿宋_GB2312" w:eastAsia="仿宋_GB2312"/>
                <w:color w:val="000000"/>
                <w:sz w:val="20"/>
                <w:szCs w:val="20"/>
              </w:rPr>
            </w:pPr>
            <w:r>
              <w:rPr>
                <w:rFonts w:hint="eastAsia" w:ascii="仿宋_GB2312" w:eastAsia="仿宋_GB2312"/>
                <w:color w:val="000000"/>
                <w:sz w:val="20"/>
                <w:szCs w:val="20"/>
              </w:rPr>
              <w:t>34.00</w:t>
            </w: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19"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32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298"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386"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278"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87"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10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609.71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575.71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p>
            <w:pPr>
              <w:jc w:val="right"/>
              <w:rPr>
                <w:rFonts w:ascii="仿宋_GB2312" w:eastAsia="仿宋_GB2312"/>
                <w:color w:val="000000"/>
                <w:sz w:val="20"/>
                <w:szCs w:val="20"/>
              </w:rPr>
            </w:pPr>
            <w:r>
              <w:rPr>
                <w:rFonts w:hint="eastAsia" w:ascii="仿宋_GB2312" w:eastAsia="仿宋_GB2312"/>
                <w:color w:val="000000"/>
                <w:sz w:val="20"/>
                <w:szCs w:val="20"/>
              </w:rPr>
              <w:t>34.00</w:t>
            </w: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编制部门：中共克孜勒苏柯尔克孜自治州委员会宣传部                单位：万元</w:t>
      </w:r>
    </w:p>
    <w:tbl>
      <w:tblPr>
        <w:tblStyle w:val="7"/>
        <w:tblW w:w="9420" w:type="dxa"/>
        <w:tblInd w:w="-240" w:type="dxa"/>
        <w:tblLayout w:type="fixed"/>
        <w:tblCellMar>
          <w:top w:w="0" w:type="dxa"/>
          <w:left w:w="108" w:type="dxa"/>
          <w:bottom w:w="0" w:type="dxa"/>
          <w:right w:w="108" w:type="dxa"/>
        </w:tblCellMar>
      </w:tblPr>
      <w:tblGrid>
        <w:gridCol w:w="517"/>
        <w:gridCol w:w="416"/>
        <w:gridCol w:w="416"/>
        <w:gridCol w:w="2547"/>
        <w:gridCol w:w="1825"/>
        <w:gridCol w:w="1826"/>
        <w:gridCol w:w="1873"/>
      </w:tblGrid>
      <w:tr>
        <w:tblPrEx>
          <w:tblLayout w:type="fixed"/>
          <w:tblCellMar>
            <w:top w:w="0" w:type="dxa"/>
            <w:left w:w="108" w:type="dxa"/>
            <w:bottom w:w="0" w:type="dxa"/>
            <w:right w:w="108" w:type="dxa"/>
          </w:tblCellMar>
        </w:tblPrEx>
        <w:trPr>
          <w:trHeight w:val="345" w:hRule="atLeast"/>
        </w:trPr>
        <w:tc>
          <w:tcPr>
            <w:tcW w:w="38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2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3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7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2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201</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33</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01</w:t>
            </w: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行政运行（宣传事务）　</w:t>
            </w: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509.71　</w:t>
            </w: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509.71　</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201</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33</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99</w:t>
            </w: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其他宣传事务支出　</w:t>
            </w: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100.00　</w:t>
            </w: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100.00</w:t>
            </w: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eastAsia="仿宋_GB2312"/>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olor w:val="000000"/>
                <w:sz w:val="20"/>
                <w:szCs w:val="20"/>
              </w:rPr>
            </w:pPr>
            <w:r>
              <w:rPr>
                <w:rFonts w:hint="eastAsia" w:ascii="仿宋_GB2312" w:eastAsia="仿宋_GB2312"/>
                <w:color w:val="000000"/>
                <w:sz w:val="20"/>
                <w:szCs w:val="20"/>
              </w:rPr>
              <w:t>　</w:t>
            </w: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合计</w:t>
            </w:r>
          </w:p>
        </w:tc>
        <w:tc>
          <w:tcPr>
            <w:tcW w:w="1825"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olor w:val="000000"/>
                <w:sz w:val="20"/>
                <w:szCs w:val="20"/>
              </w:rPr>
            </w:pPr>
            <w:r>
              <w:rPr>
                <w:rFonts w:hint="eastAsia" w:ascii="仿宋_GB2312" w:eastAsia="仿宋_GB2312"/>
                <w:color w:val="000000"/>
                <w:sz w:val="20"/>
                <w:szCs w:val="20"/>
              </w:rPr>
              <w:t>　609.71</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olor w:val="000000"/>
                <w:sz w:val="20"/>
                <w:szCs w:val="20"/>
              </w:rPr>
            </w:pPr>
            <w:r>
              <w:rPr>
                <w:rFonts w:hint="eastAsia" w:ascii="仿宋_GB2312" w:eastAsia="仿宋_GB2312"/>
                <w:color w:val="000000"/>
                <w:sz w:val="20"/>
                <w:szCs w:val="20"/>
              </w:rPr>
              <w:t>　 509.71</w:t>
            </w:r>
          </w:p>
        </w:tc>
        <w:tc>
          <w:tcPr>
            <w:tcW w:w="1873" w:type="dxa"/>
            <w:tcBorders>
              <w:top w:val="nil"/>
              <w:left w:val="nil"/>
              <w:bottom w:val="single" w:color="auto" w:sz="4" w:space="0"/>
              <w:right w:val="single" w:color="auto" w:sz="4" w:space="0"/>
            </w:tcBorders>
            <w:shd w:val="clear" w:color="auto" w:fill="auto"/>
            <w:vAlign w:val="center"/>
          </w:tcPr>
          <w:p>
            <w:pPr>
              <w:widowControl/>
              <w:ind w:firstLine="600" w:firstLineChars="300"/>
              <w:jc w:val="left"/>
              <w:rPr>
                <w:rFonts w:ascii="仿宋_GB2312" w:eastAsia="仿宋_GB2312"/>
                <w:color w:val="000000"/>
                <w:sz w:val="20"/>
                <w:szCs w:val="20"/>
              </w:rPr>
            </w:pPr>
            <w:r>
              <w:rPr>
                <w:rFonts w:hint="eastAsia" w:ascii="仿宋_GB2312" w:eastAsia="仿宋_GB2312"/>
                <w:color w:val="000000"/>
                <w:sz w:val="20"/>
                <w:szCs w:val="20"/>
              </w:rPr>
              <w:t>100.00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outlineLvl w:val="1"/>
        <w:rPr>
          <w:rFonts w:ascii="仿宋_GB2312" w:hAnsi="宋体" w:eastAsia="仿宋_GB2312"/>
          <w:b/>
          <w:kern w:val="0"/>
          <w:sz w:val="32"/>
          <w:szCs w:val="32"/>
        </w:rPr>
      </w:pPr>
      <w:r>
        <w:rPr>
          <w:rFonts w:hint="eastAsia" w:ascii="仿宋_GB2312" w:hAnsi="宋体" w:eastAsia="仿宋_GB2312"/>
          <w:kern w:val="0"/>
          <w:sz w:val="24"/>
        </w:rPr>
        <w:t>填报部门：中共克孜勒苏柯尔克孜自治州委员会宣传部            单位：万元</w:t>
      </w:r>
      <w:r>
        <w:rPr>
          <w:rFonts w:hint="eastAsia" w:ascii="仿宋_GB2312" w:hAnsi="宋体" w:eastAsia="仿宋_GB2312"/>
          <w:kern w:val="0"/>
          <w:sz w:val="28"/>
          <w:szCs w:val="28"/>
        </w:rPr>
        <w:t xml:space="preserve">                    </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575.71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575.71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575.71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575.71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575.71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575.71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575.71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1684"/>
        <w:gridCol w:w="1842"/>
        <w:gridCol w:w="1701"/>
      </w:tblGrid>
      <w:tr>
        <w:tblPrEx>
          <w:tblLayout w:type="fixed"/>
          <w:tblCellMar>
            <w:top w:w="0" w:type="dxa"/>
            <w:left w:w="108" w:type="dxa"/>
            <w:bottom w:w="0" w:type="dxa"/>
            <w:right w:w="108" w:type="dxa"/>
          </w:tblCellMar>
        </w:tblPrEx>
        <w:trPr>
          <w:trHeight w:val="450" w:hRule="atLeast"/>
        </w:trPr>
        <w:tc>
          <w:tcPr>
            <w:tcW w:w="9214" w:type="dxa"/>
            <w:gridSpan w:val="7"/>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p>
            <w:pPr>
              <w:widowControl/>
              <w:outlineLvl w:val="1"/>
              <w:rPr>
                <w:rFonts w:ascii="仿宋_GB2312" w:hAnsi="宋体" w:eastAsia="仿宋_GB2312"/>
                <w:b/>
                <w:kern w:val="0"/>
                <w:sz w:val="32"/>
                <w:szCs w:val="32"/>
              </w:rPr>
            </w:pPr>
            <w:r>
              <w:rPr>
                <w:rFonts w:hint="eastAsia" w:ascii="仿宋_GB2312" w:hAnsi="宋体" w:eastAsia="仿宋_GB2312"/>
                <w:kern w:val="0"/>
                <w:sz w:val="24"/>
              </w:rPr>
              <w:t>填报部门：中共克孜勒苏柯尔克孜自治州委员会宣传部            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其他宣传事务支出</w:t>
            </w:r>
          </w:p>
        </w:tc>
        <w:tc>
          <w:tcPr>
            <w:tcW w:w="1684" w:type="dxa"/>
            <w:tcBorders>
              <w:top w:val="nil"/>
              <w:left w:val="nil"/>
              <w:bottom w:val="single" w:color="auto" w:sz="4" w:space="0"/>
              <w:right w:val="single" w:color="auto" w:sz="4" w:space="0"/>
            </w:tcBorders>
            <w:shd w:val="clear" w:color="auto" w:fill="auto"/>
            <w:vAlign w:val="center"/>
          </w:tcPr>
          <w:p>
            <w:pPr>
              <w:widowControl/>
              <w:ind w:firstLine="600" w:firstLineChars="3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66.00</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66.00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行政运行（宣传事务）</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509.71</w:t>
            </w:r>
          </w:p>
        </w:tc>
        <w:tc>
          <w:tcPr>
            <w:tcW w:w="1842" w:type="dxa"/>
            <w:tcBorders>
              <w:top w:val="nil"/>
              <w:left w:val="nil"/>
              <w:bottom w:val="single" w:color="auto" w:sz="4" w:space="0"/>
              <w:right w:val="single" w:color="auto" w:sz="4" w:space="0"/>
            </w:tcBorders>
            <w:shd w:val="clear" w:color="auto" w:fill="auto"/>
            <w:vAlign w:val="center"/>
          </w:tcPr>
          <w:p>
            <w:pPr>
              <w:widowControl/>
              <w:ind w:firstLine="400" w:firstLineChars="2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509.71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575.71</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509.71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66.00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b/>
          <w:kern w:val="0"/>
          <w:sz w:val="28"/>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757"/>
        <w:gridCol w:w="716"/>
        <w:gridCol w:w="2891"/>
        <w:gridCol w:w="1701"/>
        <w:gridCol w:w="1701"/>
        <w:gridCol w:w="1562"/>
      </w:tblGrid>
      <w:tr>
        <w:tblPrEx>
          <w:tblLayout w:type="fixed"/>
          <w:tblCellMar>
            <w:top w:w="0" w:type="dxa"/>
            <w:left w:w="108" w:type="dxa"/>
            <w:bottom w:w="0" w:type="dxa"/>
            <w:right w:w="108" w:type="dxa"/>
          </w:tblCellMar>
        </w:tblPrEx>
        <w:trPr>
          <w:trHeight w:val="375" w:hRule="atLeast"/>
        </w:trPr>
        <w:tc>
          <w:tcPr>
            <w:tcW w:w="9328" w:type="dxa"/>
            <w:gridSpan w:val="6"/>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p>
            <w:pPr>
              <w:widowControl/>
              <w:outlineLvl w:val="1"/>
              <w:rPr>
                <w:rFonts w:ascii="仿宋_GB2312" w:hAnsi="宋体" w:eastAsia="仿宋_GB2312"/>
                <w:b/>
                <w:kern w:val="0"/>
                <w:sz w:val="32"/>
                <w:szCs w:val="32"/>
              </w:rPr>
            </w:pPr>
            <w:r>
              <w:rPr>
                <w:rFonts w:hint="eastAsia" w:ascii="仿宋_GB2312" w:hAnsi="宋体" w:eastAsia="仿宋_GB2312"/>
                <w:kern w:val="0"/>
                <w:sz w:val="24"/>
              </w:rPr>
              <w:t>填报部门：中共克孜勒苏柯尔克孜自治州委员会宣传部            单位：万元</w:t>
            </w:r>
          </w:p>
        </w:tc>
      </w:tr>
      <w:tr>
        <w:tblPrEx>
          <w:tblLayout w:type="fixed"/>
          <w:tblCellMar>
            <w:top w:w="0" w:type="dxa"/>
            <w:left w:w="108" w:type="dxa"/>
            <w:bottom w:w="0" w:type="dxa"/>
            <w:right w:w="108" w:type="dxa"/>
          </w:tblCellMar>
        </w:tblPrEx>
        <w:trPr>
          <w:trHeight w:val="390" w:hRule="atLeast"/>
        </w:trPr>
        <w:tc>
          <w:tcPr>
            <w:tcW w:w="436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96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473"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56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56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基本工资</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138.56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138.56</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退休费</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5.32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5.32</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07</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邮电费</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3.00</w:t>
            </w:r>
          </w:p>
        </w:tc>
        <w:tc>
          <w:tcPr>
            <w:tcW w:w="1701" w:type="dxa"/>
            <w:tcBorders>
              <w:top w:val="nil"/>
              <w:left w:val="nil"/>
              <w:bottom w:val="single" w:color="auto" w:sz="4" w:space="0"/>
              <w:right w:val="single" w:color="auto" w:sz="4" w:space="0"/>
            </w:tcBorders>
            <w:shd w:val="clear" w:color="auto" w:fill="auto"/>
            <w:vAlign w:val="center"/>
          </w:tcPr>
          <w:p>
            <w:pPr>
              <w:widowControl/>
              <w:ind w:right="147" w:rightChars="7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津贴补贴</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174.88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174.88　</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公务接待费</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04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手续费</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0.10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0.10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办公费</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4.00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4.00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培训费</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0.30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0.30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08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机关机关事业基本养老保险缴费</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45.93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45.93　</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03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奖金</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11.61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11.61　</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住房公积金</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33.03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33.03　</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其他社会保障缴费</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25.83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25.83　</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会议费</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0.40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0.40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差旅费</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公务用车运行维护费</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2.00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2.00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印刷费</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1.60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c>
          <w:tcPr>
            <w:tcW w:w="1562"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离休费</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15.56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15.56</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会议费</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维修（护）费</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印刷费</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其他商品和服务支出</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公务接待费</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2.00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2.00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办公用品及设备采购</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3.80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3.80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303</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生活补助</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3.65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3.65</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302</w:t>
            </w: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w:t>
            </w:r>
          </w:p>
        </w:tc>
        <w:tc>
          <w:tcPr>
            <w:tcW w:w="289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工会经费</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1.97</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1.97</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302</w:t>
            </w: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w:t>
            </w:r>
          </w:p>
        </w:tc>
        <w:tc>
          <w:tcPr>
            <w:tcW w:w="289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差旅费</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5.00</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5.00</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303</w:t>
            </w: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99</w:t>
            </w:r>
          </w:p>
        </w:tc>
        <w:tc>
          <w:tcPr>
            <w:tcW w:w="289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其他对个人和家庭的补助</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25.92</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25.92</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303</w:t>
            </w: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w:t>
            </w:r>
          </w:p>
        </w:tc>
        <w:tc>
          <w:tcPr>
            <w:tcW w:w="289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奖励金</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1.70</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1.70</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302</w:t>
            </w: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w:t>
            </w:r>
          </w:p>
        </w:tc>
        <w:tc>
          <w:tcPr>
            <w:tcW w:w="289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福利费</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3.55</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3.55</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c>
          <w:tcPr>
            <w:tcW w:w="2891" w:type="dxa"/>
            <w:tcBorders>
              <w:top w:val="single" w:color="auto" w:sz="4" w:space="0"/>
              <w:left w:val="nil"/>
              <w:bottom w:val="single" w:color="auto" w:sz="4" w:space="0"/>
              <w:right w:val="single" w:color="auto" w:sz="4" w:space="0"/>
            </w:tcBorders>
            <w:shd w:val="clear" w:color="auto" w:fill="auto"/>
            <w:vAlign w:val="center"/>
          </w:tcPr>
          <w:p>
            <w:pPr>
              <w:widowControl/>
              <w:ind w:firstLine="803" w:firstLineChars="400"/>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合计</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509.71</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481.99</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27.72</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972" w:type="dxa"/>
        <w:tblInd w:w="-360" w:type="dxa"/>
        <w:tblLayout w:type="fixed"/>
        <w:tblCellMar>
          <w:top w:w="0" w:type="dxa"/>
          <w:left w:w="108" w:type="dxa"/>
          <w:bottom w:w="0" w:type="dxa"/>
          <w:right w:w="108" w:type="dxa"/>
        </w:tblCellMar>
      </w:tblPr>
      <w:tblGrid>
        <w:gridCol w:w="10"/>
        <w:gridCol w:w="506"/>
        <w:gridCol w:w="416"/>
        <w:gridCol w:w="416"/>
        <w:gridCol w:w="851"/>
        <w:gridCol w:w="1456"/>
        <w:gridCol w:w="816"/>
        <w:gridCol w:w="569"/>
        <w:gridCol w:w="816"/>
        <w:gridCol w:w="652"/>
        <w:gridCol w:w="652"/>
        <w:gridCol w:w="578"/>
        <w:gridCol w:w="419"/>
        <w:gridCol w:w="578"/>
        <w:gridCol w:w="420"/>
        <w:gridCol w:w="420"/>
        <w:gridCol w:w="389"/>
        <w:gridCol w:w="8"/>
      </w:tblGrid>
      <w:tr>
        <w:tblPrEx>
          <w:tblLayout w:type="fixed"/>
          <w:tblCellMar>
            <w:top w:w="0" w:type="dxa"/>
            <w:left w:w="108" w:type="dxa"/>
            <w:bottom w:w="0" w:type="dxa"/>
            <w:right w:w="108" w:type="dxa"/>
          </w:tblCellMar>
        </w:tblPrEx>
        <w:trPr>
          <w:gridBefore w:val="1"/>
          <w:gridAfter w:val="1"/>
          <w:wBefore w:w="10" w:type="dxa"/>
          <w:wAfter w:w="8" w:type="dxa"/>
          <w:trHeight w:val="375" w:hRule="atLeast"/>
        </w:trPr>
        <w:tc>
          <w:tcPr>
            <w:tcW w:w="9954" w:type="dxa"/>
            <w:gridSpan w:val="16"/>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p>
            <w:pPr>
              <w:widowControl/>
              <w:outlineLvl w:val="1"/>
              <w:rPr>
                <w:rFonts w:ascii="仿宋_GB2312" w:hAnsi="宋体" w:eastAsia="仿宋_GB2312"/>
                <w:b/>
                <w:kern w:val="0"/>
                <w:sz w:val="32"/>
                <w:szCs w:val="32"/>
              </w:rPr>
            </w:pPr>
            <w:r>
              <w:rPr>
                <w:rFonts w:hint="eastAsia" w:ascii="仿宋_GB2312" w:hAnsi="宋体" w:eastAsia="仿宋_GB2312"/>
                <w:kern w:val="0"/>
                <w:sz w:val="24"/>
              </w:rPr>
              <w:t>填报部门：中共克孜勒苏柯尔克孜自治州委员会宣传部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48"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81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81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516"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16"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16"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81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81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20"/>
                <w:szCs w:val="20"/>
              </w:rPr>
            </w:pPr>
          </w:p>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201</w:t>
            </w:r>
          </w:p>
        </w:tc>
        <w:tc>
          <w:tcPr>
            <w:tcW w:w="416" w:type="dxa"/>
            <w:shd w:val="clear" w:color="auto" w:fill="auto"/>
          </w:tcPr>
          <w:p>
            <w:pPr>
              <w:widowControl/>
              <w:jc w:val="left"/>
              <w:outlineLvl w:val="1"/>
              <w:rPr>
                <w:rFonts w:ascii="仿宋_GB2312" w:hAnsi="宋体" w:eastAsia="仿宋_GB2312"/>
                <w:kern w:val="0"/>
                <w:sz w:val="20"/>
                <w:szCs w:val="20"/>
              </w:rPr>
            </w:pPr>
          </w:p>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33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99</w:t>
            </w:r>
          </w:p>
        </w:tc>
        <w:tc>
          <w:tcPr>
            <w:tcW w:w="851"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其他宣传事务支出</w:t>
            </w:r>
          </w:p>
        </w:tc>
        <w:tc>
          <w:tcPr>
            <w:tcW w:w="145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为民办事经费</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34.00</w:t>
            </w:r>
          </w:p>
        </w:tc>
        <w:tc>
          <w:tcPr>
            <w:tcW w:w="56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34.00</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20"/>
                <w:szCs w:val="20"/>
              </w:rPr>
            </w:pPr>
          </w:p>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201</w:t>
            </w:r>
          </w:p>
        </w:tc>
        <w:tc>
          <w:tcPr>
            <w:tcW w:w="416" w:type="dxa"/>
            <w:shd w:val="clear" w:color="auto" w:fill="auto"/>
          </w:tcPr>
          <w:p>
            <w:pPr>
              <w:widowControl/>
              <w:jc w:val="left"/>
              <w:outlineLvl w:val="1"/>
              <w:rPr>
                <w:rFonts w:ascii="仿宋_GB2312" w:hAnsi="宋体" w:eastAsia="仿宋_GB2312"/>
                <w:kern w:val="0"/>
                <w:sz w:val="20"/>
                <w:szCs w:val="20"/>
              </w:rPr>
            </w:pPr>
          </w:p>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33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99</w:t>
            </w:r>
          </w:p>
        </w:tc>
        <w:tc>
          <w:tcPr>
            <w:tcW w:w="851"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其他宣传事务支出</w:t>
            </w:r>
          </w:p>
        </w:tc>
        <w:tc>
          <w:tcPr>
            <w:tcW w:w="145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各项政策宣传费</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52.00</w:t>
            </w:r>
          </w:p>
        </w:tc>
        <w:tc>
          <w:tcPr>
            <w:tcW w:w="56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52.00</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20"/>
                <w:szCs w:val="20"/>
              </w:rPr>
            </w:pPr>
          </w:p>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201</w:t>
            </w:r>
          </w:p>
        </w:tc>
        <w:tc>
          <w:tcPr>
            <w:tcW w:w="416" w:type="dxa"/>
            <w:shd w:val="clear" w:color="auto" w:fill="auto"/>
          </w:tcPr>
          <w:p>
            <w:pPr>
              <w:widowControl/>
              <w:jc w:val="left"/>
              <w:outlineLvl w:val="1"/>
              <w:rPr>
                <w:rFonts w:ascii="仿宋_GB2312" w:hAnsi="宋体" w:eastAsia="仿宋_GB2312"/>
                <w:kern w:val="0"/>
                <w:sz w:val="20"/>
                <w:szCs w:val="20"/>
              </w:rPr>
            </w:pPr>
          </w:p>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33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99</w:t>
            </w:r>
          </w:p>
        </w:tc>
        <w:tc>
          <w:tcPr>
            <w:tcW w:w="851"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其他宣传事务支出</w:t>
            </w:r>
          </w:p>
        </w:tc>
        <w:tc>
          <w:tcPr>
            <w:tcW w:w="145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群众工作经费</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14.00</w:t>
            </w:r>
          </w:p>
        </w:tc>
        <w:tc>
          <w:tcPr>
            <w:tcW w:w="56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14.00</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1"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45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1"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45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1"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45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1"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45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1"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45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1"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45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1"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45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1"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45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20"/>
                <w:szCs w:val="20"/>
              </w:rPr>
            </w:pPr>
          </w:p>
        </w:tc>
        <w:tc>
          <w:tcPr>
            <w:tcW w:w="416" w:type="dxa"/>
            <w:shd w:val="clear" w:color="auto" w:fill="auto"/>
          </w:tcPr>
          <w:p>
            <w:pPr>
              <w:widowControl/>
              <w:jc w:val="left"/>
              <w:outlineLvl w:val="1"/>
              <w:rPr>
                <w:rFonts w:ascii="仿宋_GB2312" w:hAnsi="宋体" w:eastAsia="仿宋_GB2312"/>
                <w:kern w:val="0"/>
                <w:sz w:val="20"/>
                <w:szCs w:val="20"/>
              </w:rPr>
            </w:pPr>
          </w:p>
        </w:tc>
        <w:tc>
          <w:tcPr>
            <w:tcW w:w="416" w:type="dxa"/>
            <w:shd w:val="clear" w:color="auto" w:fill="auto"/>
          </w:tcPr>
          <w:p>
            <w:pPr>
              <w:widowControl/>
              <w:jc w:val="left"/>
              <w:outlineLvl w:val="1"/>
              <w:rPr>
                <w:rFonts w:ascii="仿宋_GB2312" w:hAnsi="宋体" w:eastAsia="仿宋_GB2312"/>
                <w:kern w:val="0"/>
                <w:sz w:val="20"/>
                <w:szCs w:val="20"/>
              </w:rPr>
            </w:pPr>
          </w:p>
        </w:tc>
        <w:tc>
          <w:tcPr>
            <w:tcW w:w="851" w:type="dxa"/>
            <w:shd w:val="clear" w:color="auto" w:fill="auto"/>
          </w:tcPr>
          <w:p>
            <w:pPr>
              <w:widowControl/>
              <w:jc w:val="left"/>
              <w:outlineLvl w:val="1"/>
              <w:rPr>
                <w:rFonts w:ascii="仿宋_GB2312" w:hAnsi="宋体" w:eastAsia="仿宋_GB2312"/>
                <w:kern w:val="0"/>
                <w:sz w:val="20"/>
                <w:szCs w:val="20"/>
              </w:rPr>
            </w:pPr>
          </w:p>
        </w:tc>
        <w:tc>
          <w:tcPr>
            <w:tcW w:w="1456" w:type="dxa"/>
            <w:shd w:val="clear" w:color="auto" w:fill="auto"/>
          </w:tcPr>
          <w:p>
            <w:pPr>
              <w:widowControl/>
              <w:jc w:val="left"/>
              <w:outlineLvl w:val="1"/>
              <w:rPr>
                <w:rFonts w:ascii="仿宋_GB2312" w:hAnsi="宋体" w:eastAsia="仿宋_GB2312"/>
                <w:kern w:val="0"/>
                <w:sz w:val="20"/>
                <w:szCs w:val="20"/>
              </w:rPr>
            </w:pPr>
          </w:p>
        </w:tc>
        <w:tc>
          <w:tcPr>
            <w:tcW w:w="816" w:type="dxa"/>
            <w:shd w:val="clear" w:color="auto" w:fill="auto"/>
          </w:tcPr>
          <w:p>
            <w:pPr>
              <w:widowControl/>
              <w:jc w:val="left"/>
              <w:outlineLvl w:val="1"/>
              <w:rPr>
                <w:rFonts w:ascii="仿宋_GB2312" w:hAnsi="宋体" w:eastAsia="仿宋_GB2312"/>
                <w:kern w:val="0"/>
                <w:sz w:val="20"/>
                <w:szCs w:val="20"/>
              </w:rPr>
            </w:pPr>
          </w:p>
        </w:tc>
        <w:tc>
          <w:tcPr>
            <w:tcW w:w="569" w:type="dxa"/>
            <w:shd w:val="clear" w:color="auto" w:fill="auto"/>
          </w:tcPr>
          <w:p>
            <w:pPr>
              <w:widowControl/>
              <w:jc w:val="left"/>
              <w:outlineLvl w:val="1"/>
              <w:rPr>
                <w:rFonts w:ascii="仿宋_GB2312" w:hAnsi="宋体" w:eastAsia="仿宋_GB2312"/>
                <w:kern w:val="0"/>
                <w:sz w:val="20"/>
                <w:szCs w:val="20"/>
              </w:rPr>
            </w:pPr>
          </w:p>
        </w:tc>
        <w:tc>
          <w:tcPr>
            <w:tcW w:w="816" w:type="dxa"/>
            <w:shd w:val="clear" w:color="auto" w:fill="auto"/>
          </w:tcPr>
          <w:p>
            <w:pPr>
              <w:widowControl/>
              <w:jc w:val="left"/>
              <w:outlineLvl w:val="1"/>
              <w:rPr>
                <w:rFonts w:ascii="仿宋_GB2312" w:hAnsi="宋体" w:eastAsia="仿宋_GB2312"/>
                <w:kern w:val="0"/>
                <w:sz w:val="20"/>
                <w:szCs w:val="20"/>
              </w:rPr>
            </w:pPr>
          </w:p>
        </w:tc>
        <w:tc>
          <w:tcPr>
            <w:tcW w:w="652" w:type="dxa"/>
            <w:shd w:val="clear" w:color="auto" w:fill="auto"/>
          </w:tcPr>
          <w:p>
            <w:pPr>
              <w:widowControl/>
              <w:jc w:val="left"/>
              <w:outlineLvl w:val="1"/>
              <w:rPr>
                <w:rFonts w:ascii="仿宋_GB2312" w:hAnsi="宋体" w:eastAsia="仿宋_GB2312"/>
                <w:kern w:val="0"/>
                <w:sz w:val="20"/>
                <w:szCs w:val="20"/>
              </w:rPr>
            </w:pPr>
          </w:p>
        </w:tc>
        <w:tc>
          <w:tcPr>
            <w:tcW w:w="652" w:type="dxa"/>
            <w:shd w:val="clear" w:color="auto" w:fill="auto"/>
          </w:tcPr>
          <w:p>
            <w:pPr>
              <w:widowControl/>
              <w:jc w:val="left"/>
              <w:outlineLvl w:val="1"/>
              <w:rPr>
                <w:rFonts w:ascii="仿宋_GB2312" w:hAnsi="宋体" w:eastAsia="仿宋_GB2312"/>
                <w:kern w:val="0"/>
                <w:sz w:val="20"/>
                <w:szCs w:val="20"/>
              </w:rPr>
            </w:pPr>
          </w:p>
        </w:tc>
        <w:tc>
          <w:tcPr>
            <w:tcW w:w="578" w:type="dxa"/>
            <w:shd w:val="clear" w:color="auto" w:fill="auto"/>
          </w:tcPr>
          <w:p>
            <w:pPr>
              <w:widowControl/>
              <w:jc w:val="left"/>
              <w:outlineLvl w:val="1"/>
              <w:rPr>
                <w:rFonts w:ascii="仿宋_GB2312" w:hAnsi="宋体" w:eastAsia="仿宋_GB2312"/>
                <w:kern w:val="0"/>
                <w:sz w:val="20"/>
                <w:szCs w:val="20"/>
              </w:rPr>
            </w:pPr>
          </w:p>
        </w:tc>
        <w:tc>
          <w:tcPr>
            <w:tcW w:w="419" w:type="dxa"/>
            <w:shd w:val="clear" w:color="auto" w:fill="auto"/>
          </w:tcPr>
          <w:p>
            <w:pPr>
              <w:widowControl/>
              <w:jc w:val="left"/>
              <w:outlineLvl w:val="1"/>
              <w:rPr>
                <w:rFonts w:ascii="仿宋_GB2312" w:hAnsi="宋体" w:eastAsia="仿宋_GB2312"/>
                <w:kern w:val="0"/>
                <w:sz w:val="20"/>
                <w:szCs w:val="20"/>
              </w:rPr>
            </w:pPr>
          </w:p>
        </w:tc>
        <w:tc>
          <w:tcPr>
            <w:tcW w:w="578" w:type="dxa"/>
            <w:shd w:val="clear" w:color="auto" w:fill="auto"/>
          </w:tcPr>
          <w:p>
            <w:pPr>
              <w:widowControl/>
              <w:jc w:val="left"/>
              <w:outlineLvl w:val="1"/>
              <w:rPr>
                <w:rFonts w:ascii="仿宋_GB2312" w:hAnsi="宋体" w:eastAsia="仿宋_GB2312"/>
                <w:kern w:val="0"/>
                <w:sz w:val="20"/>
                <w:szCs w:val="20"/>
              </w:rPr>
            </w:pPr>
          </w:p>
        </w:tc>
        <w:tc>
          <w:tcPr>
            <w:tcW w:w="420" w:type="dxa"/>
            <w:shd w:val="clear" w:color="auto" w:fill="auto"/>
          </w:tcPr>
          <w:p>
            <w:pPr>
              <w:widowControl/>
              <w:jc w:val="left"/>
              <w:outlineLvl w:val="1"/>
              <w:rPr>
                <w:rFonts w:ascii="仿宋_GB2312" w:hAnsi="宋体" w:eastAsia="仿宋_GB2312"/>
                <w:kern w:val="0"/>
                <w:sz w:val="20"/>
                <w:szCs w:val="20"/>
              </w:rPr>
            </w:pPr>
          </w:p>
        </w:tc>
        <w:tc>
          <w:tcPr>
            <w:tcW w:w="420" w:type="dxa"/>
            <w:shd w:val="clear" w:color="auto" w:fill="auto"/>
          </w:tcPr>
          <w:p>
            <w:pPr>
              <w:widowControl/>
              <w:jc w:val="left"/>
              <w:outlineLvl w:val="1"/>
              <w:rPr>
                <w:rFonts w:ascii="仿宋_GB2312" w:hAnsi="宋体" w:eastAsia="仿宋_GB2312"/>
                <w:kern w:val="0"/>
                <w:sz w:val="20"/>
                <w:szCs w:val="20"/>
              </w:rPr>
            </w:pPr>
          </w:p>
        </w:tc>
        <w:tc>
          <w:tcPr>
            <w:tcW w:w="397" w:type="dxa"/>
            <w:gridSpan w:val="2"/>
            <w:shd w:val="clear" w:color="auto" w:fill="auto"/>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1"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45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1"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456"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合计</w:t>
            </w:r>
          </w:p>
        </w:tc>
        <w:tc>
          <w:tcPr>
            <w:tcW w:w="816"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100.00</w:t>
            </w:r>
          </w:p>
        </w:tc>
        <w:tc>
          <w:tcPr>
            <w:tcW w:w="569" w:type="dxa"/>
            <w:shd w:val="clear" w:color="auto" w:fill="auto"/>
          </w:tcPr>
          <w:p>
            <w:pPr>
              <w:widowControl/>
              <w:jc w:val="left"/>
              <w:outlineLvl w:val="1"/>
              <w:rPr>
                <w:rFonts w:ascii="仿宋_GB2312" w:hAnsi="宋体" w:eastAsia="仿宋_GB2312"/>
                <w:kern w:val="0"/>
                <w:sz w:val="20"/>
                <w:szCs w:val="20"/>
              </w:rPr>
            </w:pPr>
          </w:p>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1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100.00</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r>
        <w:rPr>
          <w:rFonts w:hint="eastAsia" w:ascii="仿宋_GB2312" w:hAnsi="宋体" w:eastAsia="仿宋_GB2312"/>
          <w:kern w:val="0"/>
          <w:sz w:val="24"/>
        </w:rPr>
        <w:t xml:space="preserve">填报部门：中共克孜勒苏柯尔克孜自治州委员会宣传部            单位：万元                                   </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24.00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12.00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12.00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12.00</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4.00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2.00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2.00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2.00</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20.00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10.00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10.00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10.00</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 xml:space="preserve">编制单位：中共克孜勒苏柯尔克孜自治州委员会宣传部             单位：万元                                          </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备注：中共克孜勒苏柯尔克孜自治州2020年无政府性基金预算支出。</w:t>
      </w:r>
    </w:p>
    <w:p>
      <w:pPr>
        <w:widowControl/>
        <w:jc w:val="left"/>
        <w:outlineLvl w:val="1"/>
        <w:rPr>
          <w:rFonts w:ascii="仿宋_GB2312" w:hAnsi="宋体" w:eastAsia="仿宋_GB2312"/>
          <w:kern w:val="0"/>
          <w:sz w:val="32"/>
          <w:szCs w:val="32"/>
        </w:rPr>
        <w:sectPr>
          <w:headerReference r:id="rId3" w:type="default"/>
          <w:footerReference r:id="rId4" w:type="default"/>
          <w:footerReference r:id="rId5"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关于中共克孜勒苏柯尔克孜自治州委员会宣传部2020年收支预算情况的总体说明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按照全口径预算的原则，中共克孜勒苏柯尔克孜自治州委员会宣传部2020年所有收入和支出均纳入部门预算管理。收支总预算609.71万元。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收入预算包括：一般公共预算575.71万元、上级专项收入34万元。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支出预算包括：一般公共服务支出609.71万元。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二、关于中共克孜勒苏柯尔克孜自治州委员会宣传部2020年收入预算情况说明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中共克孜勒苏柯尔克孜自治州委员会宣传部收入预算    609.71万元，其中：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一般公共预算575.71万元，占94.42%，比上年减少68.44万元，主要原因是本年减少项目经费预算；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上级专项收入34万元，占5.58%，比上年增加34万元，主要原因是上年上级专项收入未纳入预算；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政府性基金预算未安排，主要原因是无政府性基金预算安排。</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三、关于中共克孜勒苏柯尔克孜自治州委员会宣传部2020年支出预算情况说明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中共克孜勒苏柯尔克孜自治州委员会宣传部2020年支出预算609.71万元，其中：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基本支出509.71万元，占83.6%，比上年增加 37.48万元，主要原因是单位人员增加，工资标准有所提高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项目支出100万元，占16.4%，比上年减少200.17万元，主要原因是项目经费预算减少。</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rPr>
        <w:t>中共克孜勒苏柯尔克孜自治州委员会宣传部2020年</w:t>
      </w:r>
      <w:r>
        <w:rPr>
          <w:rFonts w:hint="eastAsia" w:ascii="黑体" w:hAnsi="黑体" w:eastAsia="黑体" w:cs="宋体"/>
          <w:bCs/>
          <w:kern w:val="0"/>
          <w:sz w:val="32"/>
          <w:szCs w:val="32"/>
        </w:rPr>
        <w:t>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2020年财政拨款收支总预算575.71万元。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支出预算包括：一般公共服务支出575.71万元，主要用于:人员经费481.99万元、公用经费27.72万元、项目经费66万元。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五、关于中共克孜勒苏柯尔克孜自治州委员会宣传部2020年一般公共预算当年拨款情况说明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中共克孜勒苏柯尔克孜自治州委员会宣传部2020年一般公共预算拨款基本支出575.71万元，比上年执行数减少249.92 万元，下降 43.41%。主要原因是：项目经费减少。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1.一般公共服务（201类）</w:t>
      </w:r>
      <w:r>
        <w:rPr>
          <w:rFonts w:hint="eastAsia" w:ascii="楷体_GB2312" w:eastAsia="楷体_GB2312"/>
          <w:b/>
          <w:sz w:val="32"/>
          <w:szCs w:val="32"/>
        </w:rPr>
        <w:t>575.71</w:t>
      </w:r>
      <w:r>
        <w:rPr>
          <w:rFonts w:hint="eastAsia" w:ascii="仿宋_GB2312" w:hAnsi="宋体" w:eastAsia="仿宋_GB2312" w:cs="宋体"/>
          <w:kern w:val="0"/>
          <w:sz w:val="32"/>
          <w:szCs w:val="32"/>
        </w:rPr>
        <w:t>万元，占94.42%。</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2.基本支出（2013301行政运行宣传事务）509.71万元，占一般公共预算支出的88.54%；项目支出（2013399其他宣传事务支出）66万元，占一般公共预算支出的11.46%。</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类）宣传事务（</w:t>
      </w:r>
      <w:r>
        <w:rPr>
          <w:rFonts w:hint="eastAsia" w:ascii="仿宋_GB2312" w:hAnsi="宋体" w:eastAsia="仿宋_GB2312" w:cs="宋体"/>
          <w:kern w:val="0"/>
          <w:sz w:val="32"/>
          <w:szCs w:val="32"/>
        </w:rPr>
        <w:t>33</w:t>
      </w:r>
      <w:r>
        <w:rPr>
          <w:rFonts w:ascii="仿宋_GB2312" w:hAnsi="宋体" w:eastAsia="仿宋_GB2312" w:cs="宋体"/>
          <w:kern w:val="0"/>
          <w:sz w:val="32"/>
          <w:szCs w:val="32"/>
        </w:rPr>
        <w:t>款）行政运行（</w:t>
      </w:r>
      <w:r>
        <w:rPr>
          <w:rFonts w:hint="eastAsia" w:ascii="仿宋_GB2312" w:hAnsi="宋体" w:eastAsia="仿宋_GB2312" w:cs="宋体"/>
          <w:kern w:val="0"/>
          <w:sz w:val="32"/>
          <w:szCs w:val="32"/>
        </w:rPr>
        <w:t>01</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509.71</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 xml:space="preserve">比上年执行数减少148.92万元，下降29.22%，主要原因是：上年执行数中包含绩效奖金、精神文明奖金等。     </w:t>
      </w:r>
    </w:p>
    <w:p>
      <w:pPr>
        <w:spacing w:line="56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2.</w:t>
      </w:r>
      <w:r>
        <w:rPr>
          <w:rFonts w:ascii="仿宋_GB2312" w:hAnsi="宋体" w:eastAsia="仿宋_GB2312" w:cs="宋体"/>
          <w:kern w:val="0"/>
          <w:sz w:val="32"/>
          <w:szCs w:val="32"/>
        </w:rPr>
        <w:t xml:space="preserve"> 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类）其他宣传事务（</w:t>
      </w:r>
      <w:r>
        <w:rPr>
          <w:rFonts w:hint="eastAsia" w:ascii="仿宋_GB2312" w:hAnsi="宋体" w:eastAsia="仿宋_GB2312" w:cs="宋体"/>
          <w:kern w:val="0"/>
          <w:sz w:val="32"/>
          <w:szCs w:val="32"/>
        </w:rPr>
        <w:t>33</w:t>
      </w:r>
      <w:r>
        <w:rPr>
          <w:rFonts w:ascii="仿宋_GB2312" w:hAnsi="宋体" w:eastAsia="仿宋_GB2312" w:cs="宋体"/>
          <w:kern w:val="0"/>
          <w:sz w:val="32"/>
          <w:szCs w:val="32"/>
        </w:rPr>
        <w:t>款）行政运行（</w:t>
      </w:r>
      <w:r>
        <w:rPr>
          <w:rFonts w:hint="eastAsia" w:ascii="仿宋_GB2312" w:hAnsi="宋体" w:eastAsia="仿宋_GB2312" w:cs="宋体"/>
          <w:kern w:val="0"/>
          <w:sz w:val="32"/>
          <w:szCs w:val="32"/>
        </w:rPr>
        <w:t>99</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100</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比上年执行数减少67万元，下降67%，主要原因是：本年减少项目预算。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六、关于中共克孜勒苏柯尔克孜自治州委员会宣传部2020年一般公共预算基本支出情况说明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中共克孜勒苏柯尔克孜自治州委员会宣传部2020年一般公共预算基本支出509.71万元，其中：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481.99万元，主要包括：基本工资138.56万元、津贴补贴174.88万元、奖金11.61万元、机关事业单位基本养老保险缴费45.93万元、其他社会保障缴费25.83万元、住房公积金33.03万元、离休费15.56万元、退休费5.32万元、生活补助3.65万元、奖励金1.7万元、其他对个人和家庭的补助25.92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27.72万元，主要包括：办公费4万元、印刷费1.6万元、手续费0.1万元、邮电费3万元、差旅费5万元、会议费0.4万元、培训费0.3万元、公务接待费2万元、工会经费1.97万元、福利费3.55万元、公务用车运行维护费2万元、办公设备购置3.8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七、关于中共克孜勒苏柯尔克孜自治州委员会宣传部2020年项目支出情况说明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 项目</w:t>
      </w:r>
      <w:r>
        <w:rPr>
          <w:rFonts w:ascii="仿宋_GB2312" w:hAnsi="黑体" w:eastAsia="仿宋_GB2312"/>
          <w:sz w:val="32"/>
          <w:szCs w:val="32"/>
        </w:rPr>
        <w:t>名称</w:t>
      </w:r>
      <w:r>
        <w:rPr>
          <w:rFonts w:hint="eastAsia" w:ascii="仿宋_GB2312" w:hAnsi="黑体" w:eastAsia="仿宋_GB2312"/>
          <w:sz w:val="32"/>
          <w:szCs w:val="32"/>
        </w:rPr>
        <w:t>：各项政策宣传费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：根据2020年财政预算编制内容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52万元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：中共克孜勒苏柯尔克孜自治州委员会</w:t>
      </w:r>
    </w:p>
    <w:p>
      <w:pPr>
        <w:spacing w:line="560" w:lineRule="exact"/>
        <w:ind w:left="2024" w:leftChars="964" w:firstLine="960" w:firstLineChars="300"/>
        <w:rPr>
          <w:rFonts w:ascii="仿宋_GB2312" w:hAnsi="黑体" w:eastAsia="仿宋_GB2312"/>
          <w:sz w:val="32"/>
          <w:szCs w:val="32"/>
        </w:rPr>
      </w:pPr>
      <w:r>
        <w:rPr>
          <w:rFonts w:hint="eastAsia" w:ascii="仿宋_GB2312" w:hAnsi="黑体" w:eastAsia="仿宋_GB2312"/>
          <w:sz w:val="32"/>
          <w:szCs w:val="32"/>
        </w:rPr>
        <w:t>宣传部</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：根据2020年财政预算编制内容</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2020年1月-2020年12月</w:t>
      </w:r>
    </w:p>
    <w:p>
      <w:pPr>
        <w:spacing w:line="560" w:lineRule="exact"/>
        <w:ind w:firstLine="640" w:firstLineChars="200"/>
        <w:rPr>
          <w:rFonts w:ascii="仿宋_GB2312" w:hAnsi="黑体" w:eastAsia="仿宋_GB2312"/>
          <w:sz w:val="32"/>
          <w:szCs w:val="32"/>
        </w:rPr>
      </w:pPr>
      <w:r>
        <w:rPr>
          <w:rFonts w:hint="eastAsia" w:ascii="仿宋_GB2312" w:hAnsi="宋体" w:eastAsia="仿宋_GB2312" w:cs="宋体"/>
          <w:kern w:val="0"/>
          <w:sz w:val="32"/>
          <w:szCs w:val="32"/>
        </w:rPr>
        <w:t xml:space="preserve"> 2、</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：为民办事经费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：根据2020年财政预算编制内容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34万元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：中共克孜勒苏柯尔克孜自治州委员会</w:t>
      </w:r>
    </w:p>
    <w:p>
      <w:pPr>
        <w:spacing w:line="560" w:lineRule="exact"/>
        <w:ind w:left="2024" w:leftChars="964" w:firstLine="960" w:firstLineChars="300"/>
        <w:rPr>
          <w:rFonts w:ascii="仿宋_GB2312" w:hAnsi="黑体" w:eastAsia="仿宋_GB2312"/>
          <w:sz w:val="32"/>
          <w:szCs w:val="32"/>
        </w:rPr>
      </w:pPr>
      <w:r>
        <w:rPr>
          <w:rFonts w:hint="eastAsia" w:ascii="仿宋_GB2312" w:hAnsi="黑体" w:eastAsia="仿宋_GB2312"/>
          <w:sz w:val="32"/>
          <w:szCs w:val="32"/>
        </w:rPr>
        <w:t>宣传部</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：根据用款计划按月拨付</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2020年1月-2020年12月</w:t>
      </w:r>
    </w:p>
    <w:p>
      <w:pPr>
        <w:spacing w:line="560" w:lineRule="exact"/>
        <w:ind w:firstLine="640" w:firstLineChars="200"/>
        <w:rPr>
          <w:rFonts w:ascii="仿宋_GB2312" w:hAnsi="黑体" w:eastAsia="仿宋_GB2312"/>
          <w:sz w:val="32"/>
          <w:szCs w:val="32"/>
        </w:rPr>
      </w:pPr>
      <w:r>
        <w:rPr>
          <w:rFonts w:hint="eastAsia" w:ascii="仿宋_GB2312" w:hAnsi="宋体" w:eastAsia="仿宋_GB2312" w:cs="宋体"/>
          <w:kern w:val="0"/>
          <w:sz w:val="32"/>
          <w:szCs w:val="32"/>
        </w:rPr>
        <w:t>3、</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：群众工作经费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：根据群众工作需要</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14万元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：中共克孜勒苏柯尔克孜自治州委员会</w:t>
      </w:r>
    </w:p>
    <w:p>
      <w:pPr>
        <w:spacing w:line="560" w:lineRule="exact"/>
        <w:ind w:left="2024" w:leftChars="964" w:firstLine="960" w:firstLineChars="300"/>
        <w:rPr>
          <w:rFonts w:ascii="仿宋_GB2312" w:hAnsi="黑体" w:eastAsia="仿宋_GB2312"/>
          <w:sz w:val="32"/>
          <w:szCs w:val="32"/>
        </w:rPr>
      </w:pPr>
      <w:r>
        <w:rPr>
          <w:rFonts w:hint="eastAsia" w:ascii="仿宋_GB2312" w:hAnsi="黑体" w:eastAsia="仿宋_GB2312"/>
          <w:sz w:val="32"/>
          <w:szCs w:val="32"/>
        </w:rPr>
        <w:t>宣传部</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：根据用款计划按月拨付</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2020年1月-2020年12月</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八、关于中共克孜勒苏柯尔克孜自治州委员会宣传部2020年一般公共预算“三公”经费预算情况说明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中共克孜勒苏柯尔克孜自治州委员会宣传部2020年“三公”经费财政拨款预算数为24万元，其中：因公出国（境）费0万元，公务用车购置0万元，公务用车运行费12万元，公务接待费12万元。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2020年“三公”经费财政拨款预算比上年增加20 万元，其中：因公出国（境）费增加（减少）0万元，主要原因是未安排预算；公务用车购置费为0，未安排预算；公务用车运行费增加10万元，主要原因是将项目经费流动大巴扎车补助费纳入公务用车运行费；公务接待费增加10万元，主要原因是将项目经费外宣工作经费纳入公务接待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九、关于中共克孜勒苏柯尔克孜自治州委员会宣传部2020年政府性基金预算拨款情况说明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中共克孜勒苏柯尔克孜自治州委员会宣传部2020年没有使用政府性基金预算拨款安排的支出，政府性基金预算支出情况表为空表。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2020年，中共克孜勒苏柯尔克孜自治州委员会宣传部本级及下属0家行政单位和0家事业单位的机关运行经费财政拨款预算27.72万元，比上年预算增加3.77万元，增长13.6%。主要原因是本年职工人数增加。</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2020年，中共克孜勒苏柯尔克孜自治州委员会宣传部政府采购预算5.65万元，其中：政府采购货物预算4.65万元，政府采购工程预算0万元，政府采购服务预算1万元。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2020年度本部门面向中小企业预留政府采购项目预算金额0万元，其中：面向小微企业预留政府采购项目预算金额0万元。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截至2019年底，中共克孜勒苏柯尔克孜自治州委员会宣传部占用使用国有资产总体情况为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2.车辆3辆，价值98.19万元；其中：一般公务用车2辆，价值60.94万元；执法执勤用车0辆，价值0万元；其他车辆1辆，价值37.25万元。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3.办公家具价值5.55万元。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4.其他资产价值101.81万元。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2020年度，本年度实行绩效管理的项目3个，涉及预算金额100万元。具体情况见下表（按项目分别填报）：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中共克孜勒苏柯尔克孜自治州委员会宣传部</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各项政策宣传费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52万元</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52万元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组织、指导好全州的理论研究、理论学习和理论宣传工作；引导好社会舆论，指导、协调州级各新闻单位工作；负责从宏观上指导、协调精神产品的生产；负责规划、部署全局性的思想政治工作任务，规划、部署、协调全州精神文明建设活动；贯彻执行中央、自治区对外宣传的方针、政策和指示，统筹规划与协调全州对外宣传工作。</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用于宣传品制作、各类媒体接待、车辆维护、举办培训班、各项业务发生产生的办公费、差旅费等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≥52万元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2020年12月</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宣传品译制</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≥5000册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举办各类培训班</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≥4场</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文化汇演次数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≥90场</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国内外各类媒体接待</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≥65批次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文化市场监督检查</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≥3次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宣传品发放覆盖率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文化汇演覆盖率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文化市场检查覆盖率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　</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为全州积极传递党的声音，确保党的声音在基层落地生根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为全州积极传递党的声音，确保党的声音在基层落地生根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宣传覆盖率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全州干部群众对宣传工作的服务满意度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　</w:t>
            </w:r>
          </w:p>
        </w:tc>
      </w:tr>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中共克孜勒苏柯尔克孜自治州委员会宣传部</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为民办事经费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34万元</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34万元</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目标1、通过开展群众工作，加强民族团结，增进民族互信，突出现代文化引领，促进宗教和谐，落实民生建设任务，增加农牧民收入，关心关爱贫困户、低保户、残疾人特殊家庭，帮助解决生产生活中的实际困难，开展精准扶贫，凝聚人心。</w:t>
            </w:r>
          </w:p>
          <w:p>
            <w:pPr>
              <w:widowControl/>
              <w:ind w:firstLine="360" w:firstLineChars="200"/>
              <w:jc w:val="left"/>
              <w:rPr>
                <w:rFonts w:ascii="宋体" w:hAnsi="宋体" w:cs="宋体"/>
                <w:kern w:val="0"/>
                <w:sz w:val="18"/>
                <w:szCs w:val="18"/>
              </w:rPr>
            </w:pPr>
            <w:r>
              <w:rPr>
                <w:rFonts w:hint="eastAsia" w:ascii="宋体" w:hAnsi="宋体" w:cs="宋体"/>
                <w:kern w:val="0"/>
                <w:sz w:val="18"/>
                <w:szCs w:val="18"/>
              </w:rPr>
              <w:t>目标2、通过开展群众工作，提升该基层组织工作能力，改善村委会办公基层条件。</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基层阵地建设、文化活动支出、困难群众帮扶、办公支出等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≥34万元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2020年12月</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解决困难群众诉求</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≥20次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开展文化活动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≥8场次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送温暖献爱心活动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≥10场次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宣讲政策覆盖率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走访群众覆盖率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　</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增强群众获得感、幸福感、满足感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增强群众获得感、幸福感、满足感</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增强群众获得感、幸福感、满足感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增强群众获得感、幸福感、满足感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b/>
                <w:kern w:val="0"/>
                <w:sz w:val="18"/>
                <w:szCs w:val="18"/>
              </w:rPr>
            </w:pPr>
            <w:r>
              <w:rPr>
                <w:rFonts w:hint="eastAsia" w:ascii="宋体" w:hAnsi="宋体" w:cs="宋体"/>
                <w:kern w:val="0"/>
                <w:sz w:val="18"/>
                <w:szCs w:val="18"/>
              </w:rPr>
              <w:t>群众服务满意度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≥90%</w:t>
            </w:r>
          </w:p>
        </w:tc>
      </w:tr>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中共克孜勒苏柯尔克孜自治州委员会宣传部</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群众工作经费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14万元</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14万元</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目标1、通过开展群众工作，加强民族团结，增进民族互信，突出现代文化引领，促进宗教和谐，落实民生建设任务，增加农牧民收入，关心关爱贫困户、低保户、残疾人特殊家庭，帮助解决生产生活中的实际困难，开展精准扶贫，凝聚人心。</w:t>
            </w:r>
          </w:p>
          <w:p>
            <w:pPr>
              <w:widowControl/>
              <w:ind w:firstLine="360" w:firstLineChars="200"/>
              <w:jc w:val="left"/>
              <w:rPr>
                <w:rFonts w:ascii="宋体" w:hAnsi="宋体" w:cs="宋体"/>
                <w:kern w:val="0"/>
                <w:sz w:val="18"/>
                <w:szCs w:val="18"/>
              </w:rPr>
            </w:pPr>
            <w:r>
              <w:rPr>
                <w:rFonts w:hint="eastAsia" w:ascii="宋体" w:hAnsi="宋体" w:cs="宋体"/>
                <w:kern w:val="0"/>
                <w:sz w:val="18"/>
                <w:szCs w:val="18"/>
              </w:rPr>
              <w:t>目标2、通过开展群众工作，提升该基层组织工作能力，改善村委会办公基层条件。</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开展文化活动、群众慰问、群众帮扶、办公用品购置等支出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≥14万元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2020年12月</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购买办公用品次数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≥6次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慰问困难群众</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开展文化活动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≥5次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提升干部工作效率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≥85%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受益群众覆盖率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提高群众幸福感、获得感、满足感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提高群众幸福感、获得感、满足感</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提高群众幸福感、获得感、满足感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提高群众幸福感、获得感、满足感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群众服务满意度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bl>
    <w:p>
      <w:pPr>
        <w:widowControl/>
        <w:spacing w:line="560" w:lineRule="exact"/>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 xml:space="preserve"> 无</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中共克孜勒苏柯尔克孜自治州委员会宣传部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22</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ind w:firstLine="420" w:firstLineChars="200"/>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ptab w:relativeTo="margin" w:alignment="center" w:leader="none"/>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- 11 -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495"/>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1CD5"/>
    <w:rsid w:val="00003691"/>
    <w:rsid w:val="00004D54"/>
    <w:rsid w:val="00011458"/>
    <w:rsid w:val="000119B5"/>
    <w:rsid w:val="00012D28"/>
    <w:rsid w:val="00013BB3"/>
    <w:rsid w:val="00032AE8"/>
    <w:rsid w:val="000343F0"/>
    <w:rsid w:val="000534CE"/>
    <w:rsid w:val="00072221"/>
    <w:rsid w:val="00073BA2"/>
    <w:rsid w:val="00085603"/>
    <w:rsid w:val="000A0803"/>
    <w:rsid w:val="000D56B0"/>
    <w:rsid w:val="000D6F6D"/>
    <w:rsid w:val="000E2AD9"/>
    <w:rsid w:val="000F0C50"/>
    <w:rsid w:val="000F58C4"/>
    <w:rsid w:val="00106382"/>
    <w:rsid w:val="00114DEC"/>
    <w:rsid w:val="00116C60"/>
    <w:rsid w:val="00164EAD"/>
    <w:rsid w:val="00166D57"/>
    <w:rsid w:val="0017256F"/>
    <w:rsid w:val="00180FC5"/>
    <w:rsid w:val="001934F0"/>
    <w:rsid w:val="001F6BE7"/>
    <w:rsid w:val="0020667E"/>
    <w:rsid w:val="00214466"/>
    <w:rsid w:val="002153B4"/>
    <w:rsid w:val="00223BE3"/>
    <w:rsid w:val="00234829"/>
    <w:rsid w:val="00236DE4"/>
    <w:rsid w:val="002463B2"/>
    <w:rsid w:val="002508FD"/>
    <w:rsid w:val="00257DB7"/>
    <w:rsid w:val="002624BD"/>
    <w:rsid w:val="0028291B"/>
    <w:rsid w:val="002977FC"/>
    <w:rsid w:val="002C335B"/>
    <w:rsid w:val="002D042B"/>
    <w:rsid w:val="002D3310"/>
    <w:rsid w:val="002F3BFC"/>
    <w:rsid w:val="0030158A"/>
    <w:rsid w:val="00324290"/>
    <w:rsid w:val="00354D38"/>
    <w:rsid w:val="003646F9"/>
    <w:rsid w:val="0037495D"/>
    <w:rsid w:val="00374D50"/>
    <w:rsid w:val="00377C7E"/>
    <w:rsid w:val="00387451"/>
    <w:rsid w:val="003958A6"/>
    <w:rsid w:val="00395CF8"/>
    <w:rsid w:val="003E3833"/>
    <w:rsid w:val="003E4EB3"/>
    <w:rsid w:val="00403873"/>
    <w:rsid w:val="0041590E"/>
    <w:rsid w:val="00425E40"/>
    <w:rsid w:val="00427925"/>
    <w:rsid w:val="00432267"/>
    <w:rsid w:val="004456C9"/>
    <w:rsid w:val="00451A09"/>
    <w:rsid w:val="00462F94"/>
    <w:rsid w:val="00481CD5"/>
    <w:rsid w:val="004C74B5"/>
    <w:rsid w:val="00512AAC"/>
    <w:rsid w:val="00516823"/>
    <w:rsid w:val="00530F3B"/>
    <w:rsid w:val="005657ED"/>
    <w:rsid w:val="0059319A"/>
    <w:rsid w:val="005C1C35"/>
    <w:rsid w:val="005C42E0"/>
    <w:rsid w:val="005D420B"/>
    <w:rsid w:val="00620305"/>
    <w:rsid w:val="00623723"/>
    <w:rsid w:val="00624758"/>
    <w:rsid w:val="00626DF2"/>
    <w:rsid w:val="00631367"/>
    <w:rsid w:val="00653866"/>
    <w:rsid w:val="0067070E"/>
    <w:rsid w:val="006757D6"/>
    <w:rsid w:val="006839B2"/>
    <w:rsid w:val="006D1DD7"/>
    <w:rsid w:val="00705977"/>
    <w:rsid w:val="0070660C"/>
    <w:rsid w:val="00711EDA"/>
    <w:rsid w:val="0071464F"/>
    <w:rsid w:val="0072027E"/>
    <w:rsid w:val="00734ADB"/>
    <w:rsid w:val="007515B9"/>
    <w:rsid w:val="007544F9"/>
    <w:rsid w:val="00762B7E"/>
    <w:rsid w:val="007A63EF"/>
    <w:rsid w:val="007A7F10"/>
    <w:rsid w:val="007B5D64"/>
    <w:rsid w:val="007C336D"/>
    <w:rsid w:val="007D2320"/>
    <w:rsid w:val="007D69B6"/>
    <w:rsid w:val="007E04AD"/>
    <w:rsid w:val="007F4E21"/>
    <w:rsid w:val="00813316"/>
    <w:rsid w:val="00815F22"/>
    <w:rsid w:val="008160EE"/>
    <w:rsid w:val="00817E2E"/>
    <w:rsid w:val="00852B36"/>
    <w:rsid w:val="00854A76"/>
    <w:rsid w:val="00863F7E"/>
    <w:rsid w:val="00870AF5"/>
    <w:rsid w:val="008A1DF1"/>
    <w:rsid w:val="008A6D3A"/>
    <w:rsid w:val="008C248F"/>
    <w:rsid w:val="008D276F"/>
    <w:rsid w:val="008D3454"/>
    <w:rsid w:val="008D38E1"/>
    <w:rsid w:val="008E0A11"/>
    <w:rsid w:val="008F268B"/>
    <w:rsid w:val="009278EF"/>
    <w:rsid w:val="00936724"/>
    <w:rsid w:val="00950C61"/>
    <w:rsid w:val="0095603F"/>
    <w:rsid w:val="00996F2E"/>
    <w:rsid w:val="009A6F55"/>
    <w:rsid w:val="009B2FF0"/>
    <w:rsid w:val="009B37CD"/>
    <w:rsid w:val="009C006E"/>
    <w:rsid w:val="009C31C6"/>
    <w:rsid w:val="009C494D"/>
    <w:rsid w:val="009D0AA2"/>
    <w:rsid w:val="009D2928"/>
    <w:rsid w:val="009E4078"/>
    <w:rsid w:val="009F43D2"/>
    <w:rsid w:val="00A0247B"/>
    <w:rsid w:val="00A12FD2"/>
    <w:rsid w:val="00A25713"/>
    <w:rsid w:val="00A33B46"/>
    <w:rsid w:val="00A45E34"/>
    <w:rsid w:val="00A61B4A"/>
    <w:rsid w:val="00A768DA"/>
    <w:rsid w:val="00A916B5"/>
    <w:rsid w:val="00AA1E65"/>
    <w:rsid w:val="00AA3A0F"/>
    <w:rsid w:val="00AA57F0"/>
    <w:rsid w:val="00AA60B8"/>
    <w:rsid w:val="00AB0722"/>
    <w:rsid w:val="00AB3600"/>
    <w:rsid w:val="00AB54C1"/>
    <w:rsid w:val="00AC4F98"/>
    <w:rsid w:val="00AD286F"/>
    <w:rsid w:val="00AD5339"/>
    <w:rsid w:val="00AD79FF"/>
    <w:rsid w:val="00AF6ED4"/>
    <w:rsid w:val="00B03E8E"/>
    <w:rsid w:val="00B13DFF"/>
    <w:rsid w:val="00B16283"/>
    <w:rsid w:val="00B22D8A"/>
    <w:rsid w:val="00B25866"/>
    <w:rsid w:val="00B414C4"/>
    <w:rsid w:val="00B51BEC"/>
    <w:rsid w:val="00B53F72"/>
    <w:rsid w:val="00BD2004"/>
    <w:rsid w:val="00BD292E"/>
    <w:rsid w:val="00BD2B0F"/>
    <w:rsid w:val="00BD77BB"/>
    <w:rsid w:val="00C117A4"/>
    <w:rsid w:val="00C117A8"/>
    <w:rsid w:val="00C22935"/>
    <w:rsid w:val="00C349E6"/>
    <w:rsid w:val="00C756E1"/>
    <w:rsid w:val="00C865A9"/>
    <w:rsid w:val="00C90707"/>
    <w:rsid w:val="00CA3F11"/>
    <w:rsid w:val="00CA66E9"/>
    <w:rsid w:val="00CB18C6"/>
    <w:rsid w:val="00CC5E14"/>
    <w:rsid w:val="00CD1667"/>
    <w:rsid w:val="00CE1853"/>
    <w:rsid w:val="00CE1D04"/>
    <w:rsid w:val="00CF0F80"/>
    <w:rsid w:val="00D00FF1"/>
    <w:rsid w:val="00D02ED9"/>
    <w:rsid w:val="00D06832"/>
    <w:rsid w:val="00D06D6F"/>
    <w:rsid w:val="00D13EAF"/>
    <w:rsid w:val="00D17FB1"/>
    <w:rsid w:val="00D21D3F"/>
    <w:rsid w:val="00D268DE"/>
    <w:rsid w:val="00D37A44"/>
    <w:rsid w:val="00D42D30"/>
    <w:rsid w:val="00D54924"/>
    <w:rsid w:val="00D56B6D"/>
    <w:rsid w:val="00D70814"/>
    <w:rsid w:val="00DB49A8"/>
    <w:rsid w:val="00DD4F5E"/>
    <w:rsid w:val="00E04755"/>
    <w:rsid w:val="00E1314B"/>
    <w:rsid w:val="00E1670C"/>
    <w:rsid w:val="00E168E4"/>
    <w:rsid w:val="00E16C90"/>
    <w:rsid w:val="00E469CA"/>
    <w:rsid w:val="00E617EF"/>
    <w:rsid w:val="00E70901"/>
    <w:rsid w:val="00E7167C"/>
    <w:rsid w:val="00EA0167"/>
    <w:rsid w:val="00EC6464"/>
    <w:rsid w:val="00EC7D46"/>
    <w:rsid w:val="00EC7D66"/>
    <w:rsid w:val="00EE574E"/>
    <w:rsid w:val="00F1118C"/>
    <w:rsid w:val="00F47CB9"/>
    <w:rsid w:val="00F54A6B"/>
    <w:rsid w:val="00F64D57"/>
    <w:rsid w:val="00F71D22"/>
    <w:rsid w:val="00F76B0E"/>
    <w:rsid w:val="00FB79B6"/>
    <w:rsid w:val="00FC59DE"/>
    <w:rsid w:val="38E8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uiPriority w:val="0"/>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8">
    <w:name w:val="Table Grid"/>
    <w:basedOn w:val="7"/>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uiPriority w:val="0"/>
  </w:style>
  <w:style w:type="character" w:customStyle="1" w:styleId="12">
    <w:name w:val="页眉 Char"/>
    <w:basedOn w:val="9"/>
    <w:link w:val="4"/>
    <w:uiPriority w:val="99"/>
    <w:rPr>
      <w:sz w:val="18"/>
      <w:szCs w:val="18"/>
    </w:rPr>
  </w:style>
  <w:style w:type="character" w:customStyle="1" w:styleId="13">
    <w:name w:val="页脚 Char"/>
    <w:basedOn w:val="9"/>
    <w:link w:val="3"/>
    <w:uiPriority w:val="99"/>
    <w:rPr>
      <w:sz w:val="18"/>
      <w:szCs w:val="18"/>
    </w:rPr>
  </w:style>
  <w:style w:type="paragraph" w:customStyle="1" w:styleId="14">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uiPriority w:val="99"/>
    <w:rPr>
      <w:rFonts w:ascii="Times New Roman" w:hAnsi="Times New Roman" w:eastAsia="宋体" w:cs="Times New Roman"/>
      <w:sz w:val="18"/>
      <w:szCs w:val="18"/>
    </w:rPr>
  </w:style>
  <w:style w:type="character" w:customStyle="1" w:styleId="16">
    <w:name w:val="正文文本缩进 3 字符"/>
    <w:basedOn w:val="9"/>
    <w:semiHidden/>
    <w:uiPriority w:val="99"/>
    <w:rPr>
      <w:rFonts w:ascii="Times New Roman" w:hAnsi="Times New Roman" w:eastAsia="宋体" w:cs="Times New Roman"/>
      <w:sz w:val="16"/>
      <w:szCs w:val="16"/>
    </w:rPr>
  </w:style>
  <w:style w:type="character" w:customStyle="1" w:styleId="17">
    <w:name w:val="页脚 字符1"/>
    <w:uiPriority w:val="99"/>
    <w:rPr>
      <w:rFonts w:ascii="Times New Roman" w:hAnsi="Times New Roman" w:eastAsia="黑体" w:cs="Times New Roman"/>
      <w:snapToGrid w:val="0"/>
      <w:kern w:val="0"/>
      <w:sz w:val="18"/>
      <w:szCs w:val="18"/>
    </w:rPr>
  </w:style>
  <w:style w:type="character" w:customStyle="1" w:styleId="18">
    <w:name w:val="批注框文本 Char"/>
    <w:link w:val="2"/>
    <w:semiHidden/>
    <w:uiPriority w:val="0"/>
    <w:rPr>
      <w:rFonts w:ascii="Times New Roman" w:hAnsi="Times New Roman" w:eastAsia="宋体" w:cs="Times New Roman"/>
      <w:sz w:val="18"/>
      <w:szCs w:val="18"/>
    </w:rPr>
  </w:style>
  <w:style w:type="character" w:customStyle="1" w:styleId="19">
    <w:name w:val="页眉 字符1"/>
    <w:uiPriority w:val="0"/>
    <w:rPr>
      <w:rFonts w:ascii="Times New Roman" w:hAnsi="Times New Roman" w:eastAsia="宋体" w:cs="Times New Roman"/>
      <w:sz w:val="18"/>
      <w:szCs w:val="18"/>
    </w:rPr>
  </w:style>
  <w:style w:type="character" w:customStyle="1" w:styleId="20">
    <w:name w:val="正文文本缩进 3 Char"/>
    <w:link w:val="5"/>
    <w:uiPriority w:val="0"/>
    <w:rPr>
      <w:rFonts w:ascii="Times New Roman" w:hAnsi="Times New Roman" w:eastAsia="仿宋_GB2312" w:cs="Times New Roman"/>
      <w:sz w:val="32"/>
      <w:szCs w:val="24"/>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uiPriority w:val="0"/>
    <w:rPr>
      <w:rFonts w:ascii="Calibri" w:hAnsi="Calibri" w:cs="黑体"/>
      <w:sz w:val="24"/>
    </w:rPr>
  </w:style>
  <w:style w:type="paragraph" w:customStyle="1" w:styleId="23">
    <w:name w:val="普通(网站)2"/>
    <w:basedOn w:val="1"/>
    <w:uiPriority w:val="0"/>
    <w:rPr>
      <w:rFonts w:ascii="Calibri" w:hAnsi="Calibri" w:cs="黑体"/>
      <w:sz w:val="24"/>
    </w:rPr>
  </w:style>
  <w:style w:type="paragraph" w:customStyle="1" w:styleId="24">
    <w:name w:val="普通(网站)3"/>
    <w:basedOn w:val="1"/>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3CE1FB-1EC2-4F5A-92DE-DA150A0F077F}">
  <ds:schemaRefs/>
</ds:datastoreItem>
</file>

<file path=docProps/app.xml><?xml version="1.0" encoding="utf-8"?>
<Properties xmlns="http://schemas.openxmlformats.org/officeDocument/2006/extended-properties" xmlns:vt="http://schemas.openxmlformats.org/officeDocument/2006/docPropsVTypes">
  <Template>Normal</Template>
  <Pages>29</Pages>
  <Words>2118</Words>
  <Characters>12073</Characters>
  <Lines>100</Lines>
  <Paragraphs>28</Paragraphs>
  <TotalTime>1078</TotalTime>
  <ScaleCrop>false</ScaleCrop>
  <LinksUpToDate>false</LinksUpToDate>
  <CharactersWithSpaces>14163</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2020-11-25T06:15:00Z</cp:lastPrinted>
  <dcterms:modified xsi:type="dcterms:W3CDTF">2022-02-19T03:43:43Z</dcterms:modified>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