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中共克孜勒苏柯尔克孜自治州委员会宣传部2020年部门预算公开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第一部分中共克孜勒苏柯尔克孜自治州委员会宣传部单位概况</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一、关于中共克孜勒苏柯尔克孜自治州委员会宣传部2020年收支预算情况的总体说明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二、关于中共克孜勒苏柯尔克孜自治州委员会宣传部2020年收入预算情况说明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三、关于中共克孜勒苏柯尔克孜自治州委员会宣传部2020年支出预算情况说明</w:t>
      </w:r>
    </w:p>
    <w:p>
      <w:pPr>
        <w:widowControl/>
        <w:spacing w:line="5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中共克孜勒苏柯尔克孜自治州委员会宣传部2020年</w:t>
      </w:r>
      <w:r>
        <w:rPr>
          <w:rFonts w:hint="eastAsia" w:ascii="仿宋_GB2312" w:hAnsi="宋体" w:eastAsia="仿宋_GB2312"/>
          <w:bCs/>
          <w:kern w:val="0"/>
          <w:sz w:val="32"/>
          <w:szCs w:val="32"/>
        </w:rPr>
        <w:t>财政拨款收支预算情况的总体说明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五、关于中共克孜勒苏柯尔克孜自治州委员会宣传部2020年一般公共预算当年拨款情况说明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六、关于中共克孜勒苏柯尔克孜自治州委员会宣传部2020年一般公共预算基本支出情况说明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七、关于中共克孜勒苏柯尔克孜自治州委员会宣传部2020年项目支出情况说明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八、关于中共克孜勒苏柯尔克孜自治州委员会宣传部2020年一般公共预算“三公”经费预算情况说明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九、关于中共克孜勒苏柯尔克孜自治州委员会宣传部2020年政府性基金预算拨款情况说明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中共克孜勒苏柯尔克孜自治州委员会宣传部</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（一）拟定宣传思想文化工作重大方针政策和事业发展总体规划，按照自治区、自治州党委统一部署，协调宣传思想文化系统各部门之间的工作。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（二）统筹协调党的意识形态工作，贯彻落实自治区、自治州党委关于意识形态工作决策部署，组织协调意识形态工作责任制落实和日常监督检查，结合巡视巡察工作开展专项检查。</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（三）统筹指导协调自治州理论研究、理论学习、理论宣传工作，组织推动理论武装工作。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（四）负责规划组织领导自治州思想政治工作和群众性精神文明建设活动；与克孜勒苏军分区共同组织全州国防教育工作；配合自治州党委组织部做好党员教育工作；会同有关部门研究和改进群众思想教育工作。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（五）统筹分析研判和引导社会舆论，指导协调自治州各新闻单位工作，组织自治州突发公共事件应急新闻工作。承担自治州突发公共事件应急新闻中心日常工作。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六）拟定新闻出版业的管理政策并督促落实，管理新闻出版行政事务，组织协调有关行政审批工作，统筹规划和指导协调新闻出版事业、产业发展，监督管理出版物内容和质量，监督管理印刷业，管理著作权。组织指导协调自治州“扫黄打非”工作。负责克孜勒苏日报社的监督管理。</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（七）统筹指导协调自治州互联网宣传和信息内容管理工作。统筹协调数字新媒体的建设与管理。</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八）负责组织实施自治州精神文明建设规划、协调、指导、创建工作，负责规划和统筹协调自治州未成年人思想道德建设工作。统筹指导协调推动精神文化产品的创作和生产，协调组织中华优秀传统文化传承发展有关工作，指导协调推动协调推动群众文化建设。</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（九）负责全州宣传文化产品的审读鉴定，对全州审读鉴定工作进行集中统一管理，做好全州审读工作组织协调、督查落实、指导管理，推进审读工作体系化建设。</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（十）负责管理电影行政事务，指导监管电影制片、发行、放映工作，组织对电影内容进行审查，指导协调全州性重大电影活动等。</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一）对新闻出版、广播影视、文化艺术业改革发展研究提出政策性建议，统筹指导协调文化体制改革和文化事业、文化产业及旅游业发展，指导协调国有文化资产监管工作。承担自治州文化体制改革和文化产业发展工作领导小组办公室日常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（十二）统筹指导舆情信息工作，组织协调开展州内外舆情信息收集分析研判工作，跟踪了解、研究掌握宣传舆情动态。</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（十三）统筹协调对外宣传工作，紧紧围绕自治州党委的中心工作，指导协调有关部门研究拟订对外宣传工作方案、重大方针政策和对外宣传事业发展总体规划。</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四）统筹协调组织开展新闻发布工作，承担自治州新闻发布有关组织协调工作，负责自治州人民政府新闻发布组织实施工作，指导协调自治州人民政府各部门和县（市）的新闻发布工作，推动新闻发言制度建设。</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（十五）负责人权宣传工作的组织协调，会同有关部门组织涉州方面对外宣传和舆论斗争工作，做好记者来州采访事务方面的工作。</w:t>
      </w:r>
    </w:p>
    <w:p>
      <w:pPr>
        <w:pStyle w:val="6"/>
        <w:shd w:val="clear" w:color="auto" w:fill="FFFFFF"/>
        <w:spacing w:before="0" w:beforeAutospacing="0" w:after="0" w:afterAutospacing="0" w:line="560" w:lineRule="exact"/>
        <w:ind w:firstLine="482"/>
        <w:rPr>
          <w:rFonts w:ascii="仿宋_GB2312" w:hAnsi="黑体" w:eastAsia="仿宋_GB2312"/>
          <w:bCs/>
          <w:sz w:val="32"/>
          <w:szCs w:val="32"/>
        </w:rPr>
      </w:pPr>
      <w:r>
        <w:rPr>
          <w:rFonts w:hint="eastAsia" w:ascii="仿宋_GB2312" w:hAnsi="黑体" w:eastAsia="仿宋_GB2312"/>
          <w:bCs/>
          <w:sz w:val="32"/>
          <w:szCs w:val="32"/>
        </w:rPr>
        <w:t>（十六）受自治州党委委托，会同自治州党委组织部管理新闻、文化、出版、社会科学研究等方面自治区宣传文化单位的领导干部。对县（市）党委宣传部部长</w:t>
      </w:r>
      <w:bookmarkStart w:id="0" w:name="_GoBack"/>
      <w:bookmarkEnd w:id="0"/>
      <w:r>
        <w:rPr>
          <w:rFonts w:hint="eastAsia" w:ascii="仿宋_GB2312" w:hAnsi="黑体" w:eastAsia="仿宋_GB2312"/>
          <w:bCs/>
          <w:sz w:val="32"/>
          <w:szCs w:val="32"/>
        </w:rPr>
        <w:t>的任免提出意见。负责有关重要宣传舆论阵地和重要领导干部管理。负责组织开展宣传思想文化系统干部教育培训和人才工作。组织协调自治州新闻、传、文艺和政工等系列专业技术职称审查推荐工作。</w:t>
      </w:r>
    </w:p>
    <w:p>
      <w:pPr>
        <w:widowControl/>
        <w:spacing w:line="560" w:lineRule="exact"/>
        <w:ind w:firstLine="63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中共克孜勒苏柯尔克孜自治州委员会宣传部无下属预算单位，合署办公一个单位为克州社会科学界联合会。中共克孜勒苏柯尔克孜自治州委员会宣传部下设10个科室，分别是：办公室、宣传教育（电影）科、审读科、意识形态（新闻出版）工作科、文明创建科、外宣办、青少年科、扫黄办、国教办、讲师团。克州社会科学界联合会下设1个科室：办公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中共克孜勒苏柯尔克孜自治州委员会宣传部</w:t>
      </w:r>
      <w:r>
        <w:rPr>
          <w:rFonts w:hint="eastAsia" w:ascii="仿宋_GB2312" w:hAnsi="宋体" w:eastAsia="仿宋_GB2312" w:cs="宋体"/>
          <w:kern w:val="0"/>
          <w:sz w:val="32"/>
          <w:szCs w:val="32"/>
        </w:rPr>
        <w:t>单位编制数34人，实有人数28人，其中：在职28人，增加1人； 退休5人，增加0人；离休1人，增加0人。</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克州社会科学界联合会编制数4人，</w:t>
      </w:r>
      <w:r>
        <w:rPr>
          <w:rFonts w:hint="eastAsia" w:ascii="仿宋_GB2312" w:hAnsi="宋体" w:eastAsia="仿宋_GB2312" w:cs="宋体"/>
          <w:kern w:val="0"/>
          <w:sz w:val="32"/>
          <w:szCs w:val="32"/>
        </w:rPr>
        <w:t>实有人数5人，其中：在职5人，增加1人； 退休1人，增加0人；离休0人，增加0人。</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填报部门：中共克孜勒苏柯尔克孜自治州委员会宣传部            单位：万元</w:t>
      </w:r>
    </w:p>
    <w:tbl>
      <w:tblPr>
        <w:tblStyle w:val="7"/>
        <w:tblW w:w="8662" w:type="dxa"/>
        <w:tblInd w:w="-34"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575.71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609.71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575.71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34.00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609.71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ind w:firstLine="720" w:firstLineChars="4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609.71</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609.71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609.71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填报部门：中共克孜勒苏柯尔克孜自治州委员会宣传部              单位：万元                                        </w:t>
      </w:r>
    </w:p>
    <w:tbl>
      <w:tblPr>
        <w:tblStyle w:val="7"/>
        <w:tblW w:w="11014" w:type="dxa"/>
        <w:tblInd w:w="-450" w:type="dxa"/>
        <w:tblLayout w:type="fixed"/>
        <w:tblCellMar>
          <w:top w:w="0" w:type="dxa"/>
          <w:left w:w="108" w:type="dxa"/>
          <w:bottom w:w="0" w:type="dxa"/>
          <w:right w:w="108" w:type="dxa"/>
        </w:tblCellMar>
      </w:tblPr>
      <w:tblGrid>
        <w:gridCol w:w="516"/>
        <w:gridCol w:w="417"/>
        <w:gridCol w:w="417"/>
        <w:gridCol w:w="690"/>
        <w:gridCol w:w="1037"/>
        <w:gridCol w:w="816"/>
        <w:gridCol w:w="680"/>
        <w:gridCol w:w="680"/>
        <w:gridCol w:w="680"/>
        <w:gridCol w:w="444"/>
        <w:gridCol w:w="545"/>
        <w:gridCol w:w="931"/>
        <w:gridCol w:w="716"/>
        <w:gridCol w:w="636"/>
        <w:gridCol w:w="1809"/>
      </w:tblGrid>
      <w:tr>
        <w:tblPrEx>
          <w:tblLayout w:type="fixed"/>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6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44"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9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1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6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8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6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44"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6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8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行政运行（宣传事务）　</w:t>
            </w:r>
          </w:p>
        </w:tc>
        <w:tc>
          <w:tcPr>
            <w:tcW w:w="103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509.71　</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509.71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shd w:val="clear" w:color="000000" w:fill="FFFFFF"/>
          </w:tcPr>
          <w:p>
            <w:pPr>
              <w:rPr>
                <w:rFonts w:ascii="仿宋_GB2312" w:eastAsia="仿宋_GB2312"/>
                <w:color w:val="000000"/>
                <w:sz w:val="20"/>
                <w:szCs w:val="20"/>
              </w:rPr>
            </w:pPr>
          </w:p>
          <w:p>
            <w:pPr>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其他宣传事务支出　</w:t>
            </w:r>
          </w:p>
        </w:tc>
        <w:tc>
          <w:tcPr>
            <w:tcW w:w="103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100.00　</w:t>
            </w:r>
          </w:p>
        </w:tc>
        <w:tc>
          <w:tcPr>
            <w:tcW w:w="8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66.00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rPr>
                <w:rFonts w:ascii="仿宋_GB2312" w:eastAsia="仿宋_GB2312"/>
                <w:color w:val="000000"/>
                <w:sz w:val="20"/>
                <w:szCs w:val="20"/>
              </w:rPr>
            </w:pPr>
          </w:p>
          <w:p>
            <w:pPr>
              <w:rPr>
                <w:rFonts w:ascii="仿宋_GB2312" w:eastAsia="仿宋_GB2312"/>
                <w:color w:val="000000"/>
                <w:sz w:val="20"/>
                <w:szCs w:val="20"/>
              </w:rPr>
            </w:pPr>
            <w:r>
              <w:rPr>
                <w:rFonts w:hint="eastAsia" w:ascii="仿宋_GB2312" w:eastAsia="仿宋_GB2312"/>
                <w:color w:val="000000"/>
                <w:sz w:val="20"/>
                <w:szCs w:val="20"/>
              </w:rPr>
              <w:t>34.00</w:t>
            </w: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19"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29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386"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87"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0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609.71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575.71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3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p>
            <w:pPr>
              <w:jc w:val="right"/>
              <w:rPr>
                <w:rFonts w:ascii="仿宋_GB2312" w:eastAsia="仿宋_GB2312"/>
                <w:color w:val="000000"/>
                <w:sz w:val="20"/>
                <w:szCs w:val="20"/>
              </w:rPr>
            </w:pPr>
            <w:r>
              <w:rPr>
                <w:rFonts w:hint="eastAsia" w:ascii="仿宋_GB2312" w:eastAsia="仿宋_GB2312"/>
                <w:color w:val="000000"/>
                <w:sz w:val="20"/>
                <w:szCs w:val="20"/>
              </w:rPr>
              <w:t>34.00</w:t>
            </w:r>
          </w:p>
        </w:tc>
        <w:tc>
          <w:tcPr>
            <w:tcW w:w="63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编制部门：中共克孜勒苏柯尔克孜自治州委员会宣传部                单位：万元</w:t>
      </w:r>
    </w:p>
    <w:tbl>
      <w:tblPr>
        <w:tblStyle w:val="7"/>
        <w:tblW w:w="9420" w:type="dxa"/>
        <w:tblInd w:w="-240" w:type="dxa"/>
        <w:tblLayout w:type="fixed"/>
        <w:tblCellMar>
          <w:top w:w="0" w:type="dxa"/>
          <w:left w:w="108" w:type="dxa"/>
          <w:bottom w:w="0" w:type="dxa"/>
          <w:right w:w="108" w:type="dxa"/>
        </w:tblCellMar>
      </w:tblPr>
      <w:tblGrid>
        <w:gridCol w:w="517"/>
        <w:gridCol w:w="416"/>
        <w:gridCol w:w="416"/>
        <w:gridCol w:w="2547"/>
        <w:gridCol w:w="1825"/>
        <w:gridCol w:w="1826"/>
        <w:gridCol w:w="1873"/>
      </w:tblGrid>
      <w:tr>
        <w:tblPrEx>
          <w:tblLayout w:type="fixed"/>
          <w:tblCellMar>
            <w:top w:w="0" w:type="dxa"/>
            <w:left w:w="108" w:type="dxa"/>
            <w:bottom w:w="0" w:type="dxa"/>
            <w:right w:w="108" w:type="dxa"/>
          </w:tblCellMar>
        </w:tblPrEx>
        <w:trPr>
          <w:trHeight w:val="345" w:hRule="atLeast"/>
        </w:trPr>
        <w:tc>
          <w:tcPr>
            <w:tcW w:w="3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33</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01</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行政运行（宣传事务）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509.71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509.71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33</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99</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其他宣传事务支出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100.00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100.00</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c>
          <w:tcPr>
            <w:tcW w:w="18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合计</w:t>
            </w:r>
          </w:p>
        </w:tc>
        <w:tc>
          <w:tcPr>
            <w:tcW w:w="18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609.71</w:t>
            </w:r>
          </w:p>
        </w:tc>
        <w:tc>
          <w:tcPr>
            <w:tcW w:w="182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000000"/>
                <w:sz w:val="20"/>
                <w:szCs w:val="20"/>
              </w:rPr>
            </w:pPr>
            <w:r>
              <w:rPr>
                <w:rFonts w:hint="eastAsia" w:ascii="仿宋_GB2312" w:eastAsia="仿宋_GB2312"/>
                <w:color w:val="000000"/>
                <w:sz w:val="20"/>
                <w:szCs w:val="20"/>
              </w:rPr>
              <w:t>　 509.71</w:t>
            </w:r>
          </w:p>
        </w:tc>
        <w:tc>
          <w:tcPr>
            <w:tcW w:w="1873" w:type="dxa"/>
            <w:tcBorders>
              <w:top w:val="nil"/>
              <w:left w:val="nil"/>
              <w:bottom w:val="single" w:color="auto" w:sz="4" w:space="0"/>
              <w:right w:val="single" w:color="auto" w:sz="4" w:space="0"/>
            </w:tcBorders>
            <w:shd w:val="clear" w:color="auto" w:fill="auto"/>
            <w:vAlign w:val="center"/>
          </w:tcPr>
          <w:p>
            <w:pPr>
              <w:widowControl/>
              <w:ind w:firstLine="600" w:firstLineChars="300"/>
              <w:jc w:val="left"/>
              <w:rPr>
                <w:rFonts w:ascii="仿宋_GB2312" w:eastAsia="仿宋_GB2312"/>
                <w:color w:val="000000"/>
                <w:sz w:val="20"/>
                <w:szCs w:val="20"/>
              </w:rPr>
            </w:pPr>
            <w:r>
              <w:rPr>
                <w:rFonts w:hint="eastAsia" w:ascii="仿宋_GB2312" w:eastAsia="仿宋_GB2312"/>
                <w:color w:val="000000"/>
                <w:sz w:val="20"/>
                <w:szCs w:val="20"/>
              </w:rPr>
              <w:t>100.00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填报部门：中共克孜勒苏柯尔克孜自治州委员会宣传部            单位：万元</w:t>
      </w:r>
      <w:r>
        <w:rPr>
          <w:rFonts w:hint="eastAsia" w:ascii="仿宋_GB2312" w:hAnsi="宋体" w:eastAsia="仿宋_GB2312"/>
          <w:kern w:val="0"/>
          <w:sz w:val="28"/>
          <w:szCs w:val="28"/>
        </w:rPr>
        <w:t xml:space="preserve">                    </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575.71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575.71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575.71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575.71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575.71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color w:val="000000"/>
                <w:kern w:val="0"/>
                <w:sz w:val="20"/>
                <w:szCs w:val="20"/>
              </w:rPr>
              <w:t>575.71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575.71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填报部门：中共克孜勒苏柯尔克孜自治州委员会宣传部            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其他宣传事务支出</w:t>
            </w:r>
          </w:p>
        </w:tc>
        <w:tc>
          <w:tcPr>
            <w:tcW w:w="1684" w:type="dxa"/>
            <w:tcBorders>
              <w:top w:val="nil"/>
              <w:left w:val="nil"/>
              <w:bottom w:val="single" w:color="auto" w:sz="4" w:space="0"/>
              <w:right w:val="single" w:color="auto" w:sz="4" w:space="0"/>
            </w:tcBorders>
            <w:shd w:val="clear" w:color="auto" w:fill="auto"/>
            <w:vAlign w:val="center"/>
          </w:tcPr>
          <w:p>
            <w:pPr>
              <w:widowControl/>
              <w:ind w:firstLine="600" w:firstLineChars="3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66.00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66.00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行政运行（宣传事务）</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509.71</w:t>
            </w:r>
          </w:p>
        </w:tc>
        <w:tc>
          <w:tcPr>
            <w:tcW w:w="1842"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509.71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575.71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509.71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66.00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716"/>
        <w:gridCol w:w="2891"/>
        <w:gridCol w:w="1701"/>
        <w:gridCol w:w="1701"/>
        <w:gridCol w:w="1562"/>
      </w:tblGrid>
      <w:tr>
        <w:tblPrEx>
          <w:tblLayout w:type="fixed"/>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填报部门：中共克孜勒苏柯尔克孜自治州委员会宣传部            单位：万元</w:t>
            </w:r>
          </w:p>
        </w:tc>
      </w:tr>
      <w:tr>
        <w:tblPrEx>
          <w:tblLayout w:type="fixed"/>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56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138.56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138.56</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5.32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5.32</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3.00</w:t>
            </w:r>
          </w:p>
        </w:tc>
        <w:tc>
          <w:tcPr>
            <w:tcW w:w="1701" w:type="dxa"/>
            <w:tcBorders>
              <w:top w:val="nil"/>
              <w:left w:val="nil"/>
              <w:bottom w:val="single" w:color="auto" w:sz="4" w:space="0"/>
              <w:right w:val="single" w:color="auto" w:sz="4" w:space="0"/>
            </w:tcBorders>
            <w:shd w:val="clear" w:color="auto" w:fill="auto"/>
            <w:vAlign w:val="center"/>
          </w:tcPr>
          <w:p>
            <w:pPr>
              <w:widowControl/>
              <w:ind w:right="147" w:rightChars="7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174.88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174.88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0.10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0.10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4.00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4.00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0.30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0.30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机关机关事业基本养老保险缴费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45.93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45.93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11.61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11.61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33.03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33.03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25.83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25.83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0.40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0.40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1.60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15.56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15.56</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42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办公用品及设备采购</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3.80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3.80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3.65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3.65</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1.97</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1.97</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5.00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5.00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303</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25.92</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25.92</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303</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1.70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1.70</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302</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3.55</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3.55</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single" w:color="auto" w:sz="4" w:space="0"/>
              <w:left w:val="nil"/>
              <w:bottom w:val="single" w:color="auto" w:sz="4" w:space="0"/>
              <w:right w:val="single" w:color="auto" w:sz="4" w:space="0"/>
            </w:tcBorders>
            <w:shd w:val="clear" w:color="auto" w:fill="auto"/>
            <w:vAlign w:val="center"/>
          </w:tcPr>
          <w:p>
            <w:pPr>
              <w:widowControl/>
              <w:ind w:firstLine="803" w:firstLineChars="400"/>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合计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509.71</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481.99</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27.72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972" w:type="dxa"/>
        <w:tblInd w:w="-360" w:type="dxa"/>
        <w:tblLayout w:type="fixed"/>
        <w:tblCellMar>
          <w:top w:w="0" w:type="dxa"/>
          <w:left w:w="108" w:type="dxa"/>
          <w:bottom w:w="0" w:type="dxa"/>
          <w:right w:w="108" w:type="dxa"/>
        </w:tblCellMar>
      </w:tblPr>
      <w:tblGrid>
        <w:gridCol w:w="10"/>
        <w:gridCol w:w="506"/>
        <w:gridCol w:w="416"/>
        <w:gridCol w:w="416"/>
        <w:gridCol w:w="851"/>
        <w:gridCol w:w="1456"/>
        <w:gridCol w:w="816"/>
        <w:gridCol w:w="569"/>
        <w:gridCol w:w="816"/>
        <w:gridCol w:w="652"/>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954"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填报部门：中共克孜勒苏柯尔克孜自治州委员会宣传部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4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81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1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1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1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201</w:t>
            </w:r>
          </w:p>
        </w:tc>
        <w:tc>
          <w:tcPr>
            <w:tcW w:w="416" w:type="dxa"/>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33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其他宣传事务支出</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为民办事经费</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34.00</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34.00</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201</w:t>
            </w:r>
          </w:p>
        </w:tc>
        <w:tc>
          <w:tcPr>
            <w:tcW w:w="416" w:type="dxa"/>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33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其他宣传事务支出</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各项政策宣传费</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52.00</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52.00</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201</w:t>
            </w:r>
          </w:p>
        </w:tc>
        <w:tc>
          <w:tcPr>
            <w:tcW w:w="416" w:type="dxa"/>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33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其他宣传事务支出</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群众工作经费</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14.00</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14.00</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p>
        </w:tc>
        <w:tc>
          <w:tcPr>
            <w:tcW w:w="416" w:type="dxa"/>
            <w:shd w:val="clear" w:color="auto" w:fill="auto"/>
          </w:tcPr>
          <w:p>
            <w:pPr>
              <w:widowControl/>
              <w:jc w:val="left"/>
              <w:outlineLvl w:val="1"/>
              <w:rPr>
                <w:rFonts w:ascii="仿宋_GB2312" w:hAnsi="宋体" w:eastAsia="仿宋_GB2312"/>
                <w:kern w:val="0"/>
                <w:sz w:val="20"/>
                <w:szCs w:val="20"/>
              </w:rPr>
            </w:pPr>
          </w:p>
        </w:tc>
        <w:tc>
          <w:tcPr>
            <w:tcW w:w="416" w:type="dxa"/>
            <w:shd w:val="clear" w:color="auto" w:fill="auto"/>
          </w:tcPr>
          <w:p>
            <w:pPr>
              <w:widowControl/>
              <w:jc w:val="left"/>
              <w:outlineLvl w:val="1"/>
              <w:rPr>
                <w:rFonts w:ascii="仿宋_GB2312" w:hAnsi="宋体" w:eastAsia="仿宋_GB2312"/>
                <w:kern w:val="0"/>
                <w:sz w:val="20"/>
                <w:szCs w:val="20"/>
              </w:rPr>
            </w:pPr>
          </w:p>
        </w:tc>
        <w:tc>
          <w:tcPr>
            <w:tcW w:w="851" w:type="dxa"/>
            <w:shd w:val="clear" w:color="auto" w:fill="auto"/>
          </w:tcPr>
          <w:p>
            <w:pPr>
              <w:widowControl/>
              <w:jc w:val="left"/>
              <w:outlineLvl w:val="1"/>
              <w:rPr>
                <w:rFonts w:ascii="仿宋_GB2312" w:hAnsi="宋体" w:eastAsia="仿宋_GB2312"/>
                <w:kern w:val="0"/>
                <w:sz w:val="20"/>
                <w:szCs w:val="20"/>
              </w:rPr>
            </w:pPr>
          </w:p>
        </w:tc>
        <w:tc>
          <w:tcPr>
            <w:tcW w:w="1456" w:type="dxa"/>
            <w:shd w:val="clear" w:color="auto" w:fill="auto"/>
          </w:tcPr>
          <w:p>
            <w:pPr>
              <w:widowControl/>
              <w:jc w:val="left"/>
              <w:outlineLvl w:val="1"/>
              <w:rPr>
                <w:rFonts w:ascii="仿宋_GB2312" w:hAnsi="宋体" w:eastAsia="仿宋_GB2312"/>
                <w:kern w:val="0"/>
                <w:sz w:val="20"/>
                <w:szCs w:val="20"/>
              </w:rPr>
            </w:pPr>
          </w:p>
        </w:tc>
        <w:tc>
          <w:tcPr>
            <w:tcW w:w="816" w:type="dxa"/>
            <w:shd w:val="clear" w:color="auto" w:fill="auto"/>
          </w:tcPr>
          <w:p>
            <w:pPr>
              <w:widowControl/>
              <w:jc w:val="left"/>
              <w:outlineLvl w:val="1"/>
              <w:rPr>
                <w:rFonts w:ascii="仿宋_GB2312" w:hAnsi="宋体" w:eastAsia="仿宋_GB2312"/>
                <w:kern w:val="0"/>
                <w:sz w:val="20"/>
                <w:szCs w:val="20"/>
              </w:rPr>
            </w:pPr>
          </w:p>
        </w:tc>
        <w:tc>
          <w:tcPr>
            <w:tcW w:w="569" w:type="dxa"/>
            <w:shd w:val="clear" w:color="auto" w:fill="auto"/>
          </w:tcPr>
          <w:p>
            <w:pPr>
              <w:widowControl/>
              <w:jc w:val="left"/>
              <w:outlineLvl w:val="1"/>
              <w:rPr>
                <w:rFonts w:ascii="仿宋_GB2312" w:hAnsi="宋体" w:eastAsia="仿宋_GB2312"/>
                <w:kern w:val="0"/>
                <w:sz w:val="20"/>
                <w:szCs w:val="20"/>
              </w:rPr>
            </w:pPr>
          </w:p>
        </w:tc>
        <w:tc>
          <w:tcPr>
            <w:tcW w:w="816" w:type="dxa"/>
            <w:shd w:val="clear" w:color="auto" w:fill="auto"/>
          </w:tcPr>
          <w:p>
            <w:pPr>
              <w:widowControl/>
              <w:jc w:val="left"/>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20"/>
                <w:szCs w:val="20"/>
              </w:rPr>
            </w:pPr>
          </w:p>
        </w:tc>
        <w:tc>
          <w:tcPr>
            <w:tcW w:w="578" w:type="dxa"/>
            <w:shd w:val="clear" w:color="auto" w:fill="auto"/>
          </w:tcPr>
          <w:p>
            <w:pPr>
              <w:widowControl/>
              <w:jc w:val="left"/>
              <w:outlineLvl w:val="1"/>
              <w:rPr>
                <w:rFonts w:ascii="仿宋_GB2312" w:hAnsi="宋体" w:eastAsia="仿宋_GB2312"/>
                <w:kern w:val="0"/>
                <w:sz w:val="20"/>
                <w:szCs w:val="20"/>
              </w:rPr>
            </w:pPr>
          </w:p>
        </w:tc>
        <w:tc>
          <w:tcPr>
            <w:tcW w:w="419" w:type="dxa"/>
            <w:shd w:val="clear" w:color="auto" w:fill="auto"/>
          </w:tcPr>
          <w:p>
            <w:pPr>
              <w:widowControl/>
              <w:jc w:val="left"/>
              <w:outlineLvl w:val="1"/>
              <w:rPr>
                <w:rFonts w:ascii="仿宋_GB2312" w:hAnsi="宋体" w:eastAsia="仿宋_GB2312"/>
                <w:kern w:val="0"/>
                <w:sz w:val="20"/>
                <w:szCs w:val="20"/>
              </w:rPr>
            </w:pPr>
          </w:p>
        </w:tc>
        <w:tc>
          <w:tcPr>
            <w:tcW w:w="578" w:type="dxa"/>
            <w:shd w:val="clear" w:color="auto" w:fill="auto"/>
          </w:tcPr>
          <w:p>
            <w:pPr>
              <w:widowControl/>
              <w:jc w:val="left"/>
              <w:outlineLvl w:val="1"/>
              <w:rPr>
                <w:rFonts w:ascii="仿宋_GB2312" w:hAnsi="宋体" w:eastAsia="仿宋_GB2312"/>
                <w:kern w:val="0"/>
                <w:sz w:val="20"/>
                <w:szCs w:val="20"/>
              </w:rPr>
            </w:pPr>
          </w:p>
        </w:tc>
        <w:tc>
          <w:tcPr>
            <w:tcW w:w="420" w:type="dxa"/>
            <w:shd w:val="clear" w:color="auto" w:fill="auto"/>
          </w:tcPr>
          <w:p>
            <w:pPr>
              <w:widowControl/>
              <w:jc w:val="left"/>
              <w:outlineLvl w:val="1"/>
              <w:rPr>
                <w:rFonts w:ascii="仿宋_GB2312" w:hAnsi="宋体" w:eastAsia="仿宋_GB2312"/>
                <w:kern w:val="0"/>
                <w:sz w:val="20"/>
                <w:szCs w:val="20"/>
              </w:rPr>
            </w:pPr>
          </w:p>
        </w:tc>
        <w:tc>
          <w:tcPr>
            <w:tcW w:w="420" w:type="dxa"/>
            <w:shd w:val="clear" w:color="auto" w:fill="auto"/>
          </w:tcPr>
          <w:p>
            <w:pPr>
              <w:widowControl/>
              <w:jc w:val="left"/>
              <w:outlineLvl w:val="1"/>
              <w:rPr>
                <w:rFonts w:ascii="仿宋_GB2312" w:hAnsi="宋体" w:eastAsia="仿宋_GB2312"/>
                <w:kern w:val="0"/>
                <w:sz w:val="20"/>
                <w:szCs w:val="20"/>
              </w:rPr>
            </w:pPr>
          </w:p>
        </w:tc>
        <w:tc>
          <w:tcPr>
            <w:tcW w:w="397" w:type="dxa"/>
            <w:gridSpan w:val="2"/>
            <w:shd w:val="clear" w:color="auto" w:fill="auto"/>
          </w:tcPr>
          <w:p>
            <w:pPr>
              <w:widowControl/>
              <w:jc w:val="left"/>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合计</w:t>
            </w:r>
          </w:p>
        </w:tc>
        <w:tc>
          <w:tcPr>
            <w:tcW w:w="81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100.00</w:t>
            </w:r>
          </w:p>
        </w:tc>
        <w:tc>
          <w:tcPr>
            <w:tcW w:w="569" w:type="dxa"/>
            <w:shd w:val="clear" w:color="auto" w:fill="auto"/>
          </w:tcPr>
          <w:p>
            <w:pPr>
              <w:widowControl/>
              <w:jc w:val="left"/>
              <w:outlineLvl w:val="1"/>
              <w:rPr>
                <w:rFonts w:ascii="仿宋_GB2312" w:hAnsi="宋体" w:eastAsia="仿宋_GB2312"/>
                <w:kern w:val="0"/>
                <w:sz w:val="20"/>
                <w:szCs w:val="20"/>
              </w:rPr>
            </w:pP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1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100.00</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kern w:val="0"/>
          <w:sz w:val="24"/>
        </w:rPr>
        <w:t xml:space="preserve">填报部门：中共克孜勒苏柯尔克孜自治州委员会宣传部            单位：万元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24.00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12.00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12.00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12.00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4.00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20.00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10.00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10.00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10.00</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编制单位：中共克孜勒苏柯尔克孜自治州委员会宣传部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备注：中共克孜勒苏柯尔克孜自治州2020年无政府性基金预算支出。</w:t>
      </w:r>
    </w:p>
    <w:p>
      <w:pPr>
        <w:widowControl/>
        <w:jc w:val="left"/>
        <w:outlineLvl w:val="1"/>
        <w:rPr>
          <w:rFonts w:ascii="仿宋_GB2312" w:hAnsi="宋体" w:eastAsia="仿宋_GB2312"/>
          <w:kern w:val="0"/>
          <w:sz w:val="32"/>
          <w:szCs w:val="32"/>
        </w:rPr>
        <w:sectPr>
          <w:headerReference r:id="rId3" w:type="default"/>
          <w:footerReference r:id="rId4" w:type="default"/>
          <w:footerReference r:id="rId5"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关于中共克孜勒苏柯尔克孜自治州委员会宣传部2020年收支预算情况的总体说明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按照全口径预算的原则，中共克孜勒苏柯尔克孜自治州委员会宣传部2020年所有收入和支出均纳入部门预算管理。收支总预算609.71万元。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收入预算包括：一般公共预算575.71万元、上级专项收入34万元。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支出预算包括：一般公共服务支出609.71万元。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二、关于中共克孜勒苏柯尔克孜自治州委员会宣传部2020年收入预算情况说明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中共克孜勒苏柯尔克孜自治州委员会宣传部收入预算    609.71万元，其中：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一般公共预算575.71万元，占94.42%，比上年减少68.44万元，主要原因是本年减少项目经费预算；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上级专项收入34万元，占5.58%，比上年增加34万元，主要原因是上年上级专项收入未纳入预算；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政府性基金预算未安排，主要原因是无政府性基金预算安排。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三、关于中共克孜勒苏柯尔克孜自治州委员会宣传部2020年支出预算情况说明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中共克孜勒苏柯尔克孜自治州委员会宣传部2020年支出预算609.71万元，其中：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基本支出509.71万元，占83.6%，比上年增加 37.48万元，主要原因是单位人员增加，工资标准有所提高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项目支出100万元，占16.4%，比上年减少200.17万元，主要原因是项目经费预算减少。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中共克孜勒苏柯尔克孜自治州委员会宣传部2020年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2020年财政拨款收支总预算575.71万元。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支出预算包括：一般公共服务支出575.71万元，主要用于:人员经费481.99万元、公用经费27.72万元、项目经费66万元。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五、关于中共克孜勒苏柯尔克孜自治州委员会宣传部2020年一般公共预算当年拨款情况说明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中共克孜勒苏柯尔克孜自治州委员会宣传部2020年一般公共预算拨款基本支出575.71万元，比上年执行数减少249.92 万元，下降 43.41%。主要原因是：项目经费减少。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1.一般公共服务（201类）</w:t>
      </w:r>
      <w:r>
        <w:rPr>
          <w:rFonts w:hint="eastAsia" w:ascii="楷体_GB2312" w:eastAsia="楷体_GB2312"/>
          <w:b/>
          <w:sz w:val="32"/>
          <w:szCs w:val="32"/>
        </w:rPr>
        <w:t>575.71</w:t>
      </w:r>
      <w:r>
        <w:rPr>
          <w:rFonts w:hint="eastAsia" w:ascii="仿宋_GB2312" w:hAnsi="宋体" w:eastAsia="仿宋_GB2312" w:cs="宋体"/>
          <w:kern w:val="0"/>
          <w:sz w:val="32"/>
          <w:szCs w:val="32"/>
        </w:rPr>
        <w:t>万元，占94.42%。</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2.基本支出（2013301行政运行宣传事务）509.71万元，占一般公共预算支出的88.54%；项目支出（2013399其他宣传事务支出）66万元，占一般公共预算支出的11.46%。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类）宣传事务（</w:t>
      </w:r>
      <w:r>
        <w:rPr>
          <w:rFonts w:hint="eastAsia" w:ascii="仿宋_GB2312" w:hAnsi="宋体" w:eastAsia="仿宋_GB2312" w:cs="宋体"/>
          <w:kern w:val="0"/>
          <w:sz w:val="32"/>
          <w:szCs w:val="32"/>
        </w:rPr>
        <w:t>33</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509.71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比上年执行数减少148.92万元，下降29.22%，主要原因是：上年执行数中包含绩效奖金、精神文明奖金等。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类）其他宣传事务（</w:t>
      </w:r>
      <w:r>
        <w:rPr>
          <w:rFonts w:hint="eastAsia" w:ascii="仿宋_GB2312" w:hAnsi="宋体" w:eastAsia="仿宋_GB2312" w:cs="宋体"/>
          <w:kern w:val="0"/>
          <w:sz w:val="32"/>
          <w:szCs w:val="32"/>
        </w:rPr>
        <w:t>33</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99</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比上年执行数减少67万元，下降67%，主要原因是：本年减少项目预算。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六、关于中共克孜勒苏柯尔克孜自治州委员会宣传部2020年一般公共预算基本支出情况说明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中共克孜勒苏柯尔克孜自治州委员会宣传部2020年一般公共预算基本支出509.71万元，其中：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481.99万元，主要包括：基本工资138.56万元、津贴补贴174.88万元、奖金11.61万元、机关事业单位基本养老保险缴费45.93万元、其他社会保障缴费25.83万元、住房公积金33.03万元、离休费15.56万元、退休费5.32万元、生活补助3.65万元、奖励金1.7万元、其他对个人和家庭的补助25.92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27.72万元，主要包括：办公费4万元、印刷费1.6万元、手续费0.1万元、邮电费3万元、差旅费5万元、会议费0.4万元、培训费0.3万元、公务接待费2万元、工会经费1.97万元、福利费3.55万元、公务用车运行维护费2万元、办公设备购置3.8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七、关于中共克孜勒苏柯尔克孜自治州委员会宣传部2020年项目支出情况说明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 项目</w:t>
      </w:r>
      <w:r>
        <w:rPr>
          <w:rFonts w:ascii="仿宋_GB2312" w:hAnsi="黑体" w:eastAsia="仿宋_GB2312"/>
          <w:sz w:val="32"/>
          <w:szCs w:val="32"/>
        </w:rPr>
        <w:t>名称</w:t>
      </w:r>
      <w:r>
        <w:rPr>
          <w:rFonts w:hint="eastAsia" w:ascii="仿宋_GB2312" w:hAnsi="黑体" w:eastAsia="仿宋_GB2312"/>
          <w:sz w:val="32"/>
          <w:szCs w:val="32"/>
        </w:rPr>
        <w:t>：各项政策宣传费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：根据2020年财政预算编制内容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：中共克孜勒苏柯尔克孜自治州委员会</w:t>
      </w:r>
    </w:p>
    <w:p>
      <w:pPr>
        <w:spacing w:line="560" w:lineRule="exact"/>
        <w:ind w:left="2024" w:leftChars="964" w:firstLine="960" w:firstLineChars="300"/>
        <w:rPr>
          <w:rFonts w:ascii="仿宋_GB2312" w:hAnsi="黑体" w:eastAsia="仿宋_GB2312"/>
          <w:sz w:val="32"/>
          <w:szCs w:val="32"/>
        </w:rPr>
      </w:pPr>
      <w:r>
        <w:rPr>
          <w:rFonts w:hint="eastAsia" w:ascii="仿宋_GB2312" w:hAnsi="黑体" w:eastAsia="仿宋_GB2312"/>
          <w:sz w:val="32"/>
          <w:szCs w:val="32"/>
        </w:rPr>
        <w:t>宣传部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：根据2020年财政预算编制内容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2020年1月-2020年12月</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 xml:space="preserve"> 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：为民办事经费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：根据2020年财政预算编制内容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34万元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：中共克孜勒苏柯尔克孜自治州委员会</w:t>
      </w:r>
    </w:p>
    <w:p>
      <w:pPr>
        <w:spacing w:line="560" w:lineRule="exact"/>
        <w:ind w:left="2024" w:leftChars="964" w:firstLine="960" w:firstLineChars="300"/>
        <w:rPr>
          <w:rFonts w:ascii="仿宋_GB2312" w:hAnsi="黑体" w:eastAsia="仿宋_GB2312"/>
          <w:sz w:val="32"/>
          <w:szCs w:val="32"/>
        </w:rPr>
      </w:pPr>
      <w:r>
        <w:rPr>
          <w:rFonts w:hint="eastAsia" w:ascii="仿宋_GB2312" w:hAnsi="黑体" w:eastAsia="仿宋_GB2312"/>
          <w:sz w:val="32"/>
          <w:szCs w:val="32"/>
        </w:rPr>
        <w:t>宣传部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：根据用款计划按月拨付</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2020年1月-2020年12月</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：群众工作经费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：根据群众工作需要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14万元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：中共克孜勒苏柯尔克孜自治州委员会</w:t>
      </w:r>
    </w:p>
    <w:p>
      <w:pPr>
        <w:spacing w:line="560" w:lineRule="exact"/>
        <w:ind w:left="2024" w:leftChars="964" w:firstLine="960" w:firstLineChars="300"/>
        <w:rPr>
          <w:rFonts w:ascii="仿宋_GB2312" w:hAnsi="黑体" w:eastAsia="仿宋_GB2312"/>
          <w:sz w:val="32"/>
          <w:szCs w:val="32"/>
        </w:rPr>
      </w:pPr>
      <w:r>
        <w:rPr>
          <w:rFonts w:hint="eastAsia" w:ascii="仿宋_GB2312" w:hAnsi="黑体" w:eastAsia="仿宋_GB2312"/>
          <w:sz w:val="32"/>
          <w:szCs w:val="32"/>
        </w:rPr>
        <w:t>宣传部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：根据用款计划按月拨付</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2020年1月-2020年12月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八、关于中共克孜勒苏柯尔克孜自治州委员会宣传部2020年一般公共预算“三公”经费预算情况说明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中共克孜勒苏柯尔克孜自治州委员会宣传部2020年“三公”经费财政拨款预算数为24万元，其中：因公出国（境）费0万元，公务用车购置0万元，公务用车运行费12万元，公务接待费12万元。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2020年“三公”经费财政拨款预算比上年增加20 万元，其中：因公出国（境）费增加（减少）0万元，主要原因是未安排预算；公务用车购置费为0，未安排预算；公务用车运行费增加10万元，主要原因是将项目经费流动大巴扎车补助费纳入公务用车运行费；公务接待费增加10万元，主要原因是将项目经费外宣工作经费纳入公务接待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九、关于中共克孜勒苏柯尔克孜自治州委员会宣传部2020年政府性基金预算拨款情况说明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中共克孜勒苏柯尔克孜自治州委员会宣传部2020年没有使用政府性基金预算拨款安排的支出，政府性基金预算支出情况表为空表。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2020年，中共克孜勒苏柯尔克孜自治州委员会宣传部本级及下属0家行政单位和0家事业单位的机关运行经费财政拨款预算27.72万元，比上年预算增加3.77万元，增长13.6%。主要原因是本年职工人数增加。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2020年，中共克孜勒苏柯尔克孜自治州委员会宣传部政府采购预算5.65万元，其中：政府采购货物预算4.65万元，政府采购工程预算0万元，政府采购服务预算1万元。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截至2019年底，中共克孜勒苏柯尔克孜自治州委员会宣传部占用使用国有资产总体情况为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2.车辆3辆，价值98.19万元；其中：一般公务用车2辆，价值60.94万元；执法执勤用车0辆，价值0万元；其他车辆1辆，价值37.25万元。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3.办公家具价值5.55万元。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4.其他资产价值101.81万元。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2020年度，本年度实行绩效管理的项目3个，涉及预算金额100万元。具体情况见下表（按项目分别填报）：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中共克孜勒苏柯尔克孜自治州委员会宣传部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各项政策宣传费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52万元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组织、指导好全州的理论研究、理论学习和理论宣传工作；引导好社会舆论，指导、协调州级各新闻单位工作；负责从宏观上指导、协调精神产品的生产；负责规划、部署全局性的思想政治工作任务，规划、部署、协调全州精神文明建设活动；贯彻执行中央、自治区对外宣传的方针、政策和指示，统筹规划与协调全州对外宣传工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用于宣传品制作、各类媒体接待、车辆维护、举办培训班、各项业务发生产生的办公费、差旅费等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宣传品译制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≥5000册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举办各类培训班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文化汇演次数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国内外各类媒体接待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≥65批次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文化市场监督检查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宣传品发放覆盖率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文化汇演覆盖率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文化市场检查覆盖率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为全州积极传递党的声音，确保党的声音在基层落地生根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为全州积极传递党的声音，确保党的声音在基层落地生根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宣传覆盖率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全州干部群众对宣传工作的服务满意度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中共克孜勒苏柯尔克孜自治州委员会宣传部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为民办事经费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目标1、通过开展群众工作，加强民族团结，增进民族互信，突出现代文化引领，促进宗教和谐，落实民生建设任务，增加农牧民收入，关心关爱贫困户、低保户、残疾人特殊家庭，帮助解决生产生活中的实际困难，开展精准扶贫，凝聚人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目标2、通过开展群众工作，提升该基层组织工作能力，改善村委会办公基层条件。</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基层阵地建设、文化活动支出、困难群众帮扶、办公支出等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解决困难群众诉求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开展文化活动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≥8场次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送温暖献爱心活动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≥10场次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宣讲政策覆盖率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走访群众覆盖率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增强群众获得感、幸福感、满足感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增强群众获得感、幸福感、满足感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增强群众获得感、幸福感、满足感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增强群众获得感、幸福感、满足感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b/>
                <w:kern w:val="0"/>
                <w:sz w:val="18"/>
                <w:szCs w:val="18"/>
              </w:rPr>
            </w:pPr>
            <w:r>
              <w:rPr>
                <w:rFonts w:hint="eastAsia" w:ascii="宋体" w:hAnsi="宋体" w:cs="宋体"/>
                <w:kern w:val="0"/>
                <w:sz w:val="18"/>
                <w:szCs w:val="18"/>
              </w:rPr>
              <w:t>群众服务满意度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≥90%</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中共克孜勒苏柯尔克孜自治州委员会宣传部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群众工作经费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目标1、通过开展群众工作，加强民族团结，增进民族互信，突出现代文化引领，促进宗教和谐，落实民生建设任务，增加农牧民收入，关心关爱贫困户、低保户、残疾人特殊家庭，帮助解决生产生活中的实际困难，开展精准扶贫，凝聚人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目标2、通过开展群众工作，提升该基层组织工作能力，改善村委会办公基层条件。</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开展文化活动、群众慰问、群众帮扶、办公用品购置等支出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购买办公用品次数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慰问困难群众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开展文化活动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提升干部工作效率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提高群众幸福感、获得感、满足感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提高群众幸福感、获得感、满足感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提高群众幸福感、获得感、满足感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提高群众幸福感、获得感、满足感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群众服务满意度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中共克孜勒苏柯尔克孜自治州委员会宣传部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p>
      <w:pPr>
        <w:spacing w:line="560" w:lineRule="exact"/>
        <w:ind w:firstLine="420" w:firstLineChars="200"/>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ptab w:relativeTo="margin" w:alignment="center" w:leader="none"/>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495"/>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03691"/>
    <w:rsid w:val="00004D54"/>
    <w:rsid w:val="00011458"/>
    <w:rsid w:val="000119B5"/>
    <w:rsid w:val="00012D28"/>
    <w:rsid w:val="00013BB3"/>
    <w:rsid w:val="00032AE8"/>
    <w:rsid w:val="000343F0"/>
    <w:rsid w:val="000534CE"/>
    <w:rsid w:val="00072221"/>
    <w:rsid w:val="00073BA2"/>
    <w:rsid w:val="00085603"/>
    <w:rsid w:val="000A0803"/>
    <w:rsid w:val="000D56B0"/>
    <w:rsid w:val="000D6F6D"/>
    <w:rsid w:val="000E2AD9"/>
    <w:rsid w:val="000F0C50"/>
    <w:rsid w:val="000F58C4"/>
    <w:rsid w:val="00106382"/>
    <w:rsid w:val="00114DEC"/>
    <w:rsid w:val="00116C60"/>
    <w:rsid w:val="00164EAD"/>
    <w:rsid w:val="00166D57"/>
    <w:rsid w:val="0017256F"/>
    <w:rsid w:val="00180FC5"/>
    <w:rsid w:val="001934F0"/>
    <w:rsid w:val="001F6BE7"/>
    <w:rsid w:val="0020667E"/>
    <w:rsid w:val="00214466"/>
    <w:rsid w:val="002153B4"/>
    <w:rsid w:val="00223BE3"/>
    <w:rsid w:val="00234829"/>
    <w:rsid w:val="00236DE4"/>
    <w:rsid w:val="002463B2"/>
    <w:rsid w:val="002508FD"/>
    <w:rsid w:val="00257DB7"/>
    <w:rsid w:val="002624BD"/>
    <w:rsid w:val="0028291B"/>
    <w:rsid w:val="002977FC"/>
    <w:rsid w:val="002C335B"/>
    <w:rsid w:val="002D042B"/>
    <w:rsid w:val="002D3310"/>
    <w:rsid w:val="002F3BFC"/>
    <w:rsid w:val="0030158A"/>
    <w:rsid w:val="00324290"/>
    <w:rsid w:val="00354D38"/>
    <w:rsid w:val="003646F9"/>
    <w:rsid w:val="0037495D"/>
    <w:rsid w:val="00374D50"/>
    <w:rsid w:val="00377C7E"/>
    <w:rsid w:val="00387451"/>
    <w:rsid w:val="003958A6"/>
    <w:rsid w:val="00395CF8"/>
    <w:rsid w:val="003E3833"/>
    <w:rsid w:val="003E4EB3"/>
    <w:rsid w:val="00403873"/>
    <w:rsid w:val="0041590E"/>
    <w:rsid w:val="00425E40"/>
    <w:rsid w:val="00427925"/>
    <w:rsid w:val="00432267"/>
    <w:rsid w:val="004456C9"/>
    <w:rsid w:val="00451A09"/>
    <w:rsid w:val="00462F94"/>
    <w:rsid w:val="00481CD5"/>
    <w:rsid w:val="004C74B5"/>
    <w:rsid w:val="00512AAC"/>
    <w:rsid w:val="00516823"/>
    <w:rsid w:val="00530F3B"/>
    <w:rsid w:val="005657ED"/>
    <w:rsid w:val="0059319A"/>
    <w:rsid w:val="005C1C35"/>
    <w:rsid w:val="005C42E0"/>
    <w:rsid w:val="005D420B"/>
    <w:rsid w:val="00620305"/>
    <w:rsid w:val="00623723"/>
    <w:rsid w:val="00624758"/>
    <w:rsid w:val="00626DF2"/>
    <w:rsid w:val="00631367"/>
    <w:rsid w:val="00653866"/>
    <w:rsid w:val="0067070E"/>
    <w:rsid w:val="006757D6"/>
    <w:rsid w:val="006839B2"/>
    <w:rsid w:val="006D1DD7"/>
    <w:rsid w:val="00705977"/>
    <w:rsid w:val="0070660C"/>
    <w:rsid w:val="00711EDA"/>
    <w:rsid w:val="0071464F"/>
    <w:rsid w:val="0072027E"/>
    <w:rsid w:val="00734ADB"/>
    <w:rsid w:val="007515B9"/>
    <w:rsid w:val="007544F9"/>
    <w:rsid w:val="00762B7E"/>
    <w:rsid w:val="007A63EF"/>
    <w:rsid w:val="007A7F10"/>
    <w:rsid w:val="007B5D64"/>
    <w:rsid w:val="007C336D"/>
    <w:rsid w:val="007D2320"/>
    <w:rsid w:val="007D69B6"/>
    <w:rsid w:val="007E04AD"/>
    <w:rsid w:val="007F4E21"/>
    <w:rsid w:val="00813316"/>
    <w:rsid w:val="00815F22"/>
    <w:rsid w:val="008160EE"/>
    <w:rsid w:val="00817E2E"/>
    <w:rsid w:val="00852B36"/>
    <w:rsid w:val="00854A76"/>
    <w:rsid w:val="00863F7E"/>
    <w:rsid w:val="00870AF5"/>
    <w:rsid w:val="008A1DF1"/>
    <w:rsid w:val="008A6D3A"/>
    <w:rsid w:val="008C248F"/>
    <w:rsid w:val="008D276F"/>
    <w:rsid w:val="008D3454"/>
    <w:rsid w:val="008D38E1"/>
    <w:rsid w:val="008E0A11"/>
    <w:rsid w:val="008F268B"/>
    <w:rsid w:val="009278EF"/>
    <w:rsid w:val="00936724"/>
    <w:rsid w:val="00950C61"/>
    <w:rsid w:val="0095603F"/>
    <w:rsid w:val="00996F2E"/>
    <w:rsid w:val="009A6F55"/>
    <w:rsid w:val="009B2FF0"/>
    <w:rsid w:val="009B37CD"/>
    <w:rsid w:val="009C006E"/>
    <w:rsid w:val="009C31C6"/>
    <w:rsid w:val="009C494D"/>
    <w:rsid w:val="009D0AA2"/>
    <w:rsid w:val="009D2928"/>
    <w:rsid w:val="009E4078"/>
    <w:rsid w:val="009F43D2"/>
    <w:rsid w:val="00A0247B"/>
    <w:rsid w:val="00A12FD2"/>
    <w:rsid w:val="00A25713"/>
    <w:rsid w:val="00A33B46"/>
    <w:rsid w:val="00A45E34"/>
    <w:rsid w:val="00A61B4A"/>
    <w:rsid w:val="00A768DA"/>
    <w:rsid w:val="00A916B5"/>
    <w:rsid w:val="00AA1E65"/>
    <w:rsid w:val="00AA3A0F"/>
    <w:rsid w:val="00AA57F0"/>
    <w:rsid w:val="00AA60B8"/>
    <w:rsid w:val="00AB0722"/>
    <w:rsid w:val="00AB3600"/>
    <w:rsid w:val="00AB54C1"/>
    <w:rsid w:val="00AC4F98"/>
    <w:rsid w:val="00AD286F"/>
    <w:rsid w:val="00AD5339"/>
    <w:rsid w:val="00AD79FF"/>
    <w:rsid w:val="00AF6ED4"/>
    <w:rsid w:val="00B03E8E"/>
    <w:rsid w:val="00B13DFF"/>
    <w:rsid w:val="00B16283"/>
    <w:rsid w:val="00B22D8A"/>
    <w:rsid w:val="00B25866"/>
    <w:rsid w:val="00B414C4"/>
    <w:rsid w:val="00B51BEC"/>
    <w:rsid w:val="00B53F72"/>
    <w:rsid w:val="00BD2004"/>
    <w:rsid w:val="00BD292E"/>
    <w:rsid w:val="00BD2B0F"/>
    <w:rsid w:val="00BD77BB"/>
    <w:rsid w:val="00C117A4"/>
    <w:rsid w:val="00C117A8"/>
    <w:rsid w:val="00C22935"/>
    <w:rsid w:val="00C349E6"/>
    <w:rsid w:val="00C756E1"/>
    <w:rsid w:val="00C865A9"/>
    <w:rsid w:val="00C90707"/>
    <w:rsid w:val="00CA3F11"/>
    <w:rsid w:val="00CA66E9"/>
    <w:rsid w:val="00CB18C6"/>
    <w:rsid w:val="00CC5E14"/>
    <w:rsid w:val="00CD1667"/>
    <w:rsid w:val="00CE1853"/>
    <w:rsid w:val="00CE1D04"/>
    <w:rsid w:val="00CF0F80"/>
    <w:rsid w:val="00D00FF1"/>
    <w:rsid w:val="00D02ED9"/>
    <w:rsid w:val="00D06832"/>
    <w:rsid w:val="00D06D6F"/>
    <w:rsid w:val="00D13EAF"/>
    <w:rsid w:val="00D17FB1"/>
    <w:rsid w:val="00D21D3F"/>
    <w:rsid w:val="00D268DE"/>
    <w:rsid w:val="00D37A44"/>
    <w:rsid w:val="00D42D30"/>
    <w:rsid w:val="00D54924"/>
    <w:rsid w:val="00D56B6D"/>
    <w:rsid w:val="00D70814"/>
    <w:rsid w:val="00DB49A8"/>
    <w:rsid w:val="00DD4F5E"/>
    <w:rsid w:val="00E04755"/>
    <w:rsid w:val="00E1314B"/>
    <w:rsid w:val="00E1670C"/>
    <w:rsid w:val="00E168E4"/>
    <w:rsid w:val="00E16C90"/>
    <w:rsid w:val="00E469CA"/>
    <w:rsid w:val="00E617EF"/>
    <w:rsid w:val="00E70901"/>
    <w:rsid w:val="00E7167C"/>
    <w:rsid w:val="00EA0167"/>
    <w:rsid w:val="00EC6464"/>
    <w:rsid w:val="00EC7D46"/>
    <w:rsid w:val="00EC7D66"/>
    <w:rsid w:val="00EE574E"/>
    <w:rsid w:val="00F1118C"/>
    <w:rsid w:val="00F47CB9"/>
    <w:rsid w:val="00F54A6B"/>
    <w:rsid w:val="00F64D57"/>
    <w:rsid w:val="00F71D22"/>
    <w:rsid w:val="00F76B0E"/>
    <w:rsid w:val="00FB79B6"/>
    <w:rsid w:val="00FC59DE"/>
    <w:rsid w:val="38E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iPriority w:val="0"/>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uiPriority w:val="0"/>
  </w:style>
  <w:style w:type="character" w:customStyle="1" w:styleId="12">
    <w:name w:val="页眉 Char"/>
    <w:basedOn w:val="9"/>
    <w:link w:val="4"/>
    <w:uiPriority w:val="99"/>
    <w:rPr>
      <w:sz w:val="18"/>
      <w:szCs w:val="18"/>
    </w:rPr>
  </w:style>
  <w:style w:type="character" w:customStyle="1" w:styleId="13">
    <w:name w:val="页脚 Char"/>
    <w:basedOn w:val="9"/>
    <w:link w:val="3"/>
    <w:uiPriority w:val="99"/>
    <w:rPr>
      <w:sz w:val="18"/>
      <w:szCs w:val="18"/>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uiPriority w:val="99"/>
    <w:rPr>
      <w:rFonts w:ascii="Times New Roman" w:hAnsi="Times New Roman" w:eastAsia="宋体" w:cs="Times New Roman"/>
      <w:sz w:val="18"/>
      <w:szCs w:val="18"/>
    </w:rPr>
  </w:style>
  <w:style w:type="character" w:customStyle="1" w:styleId="16">
    <w:name w:val="正文文本缩进 3 字符"/>
    <w:basedOn w:val="9"/>
    <w:semiHidden/>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uiPriority w:val="0"/>
    <w:rPr>
      <w:rFonts w:ascii="Times New Roman" w:hAnsi="Times New Roman" w:eastAsia="宋体" w:cs="Times New Roman"/>
      <w:sz w:val="18"/>
      <w:szCs w:val="18"/>
    </w:rPr>
  </w:style>
  <w:style w:type="character" w:customStyle="1" w:styleId="19">
    <w:name w:val="页眉 字符1"/>
    <w:uiPriority w:val="0"/>
    <w:rPr>
      <w:rFonts w:ascii="Times New Roman" w:hAnsi="Times New Roman" w:eastAsia="宋体" w:cs="Times New Roman"/>
      <w:sz w:val="18"/>
      <w:szCs w:val="18"/>
    </w:rPr>
  </w:style>
  <w:style w:type="character" w:customStyle="1" w:styleId="20">
    <w:name w:val="正文文本缩进 3 Char"/>
    <w:link w:val="5"/>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CE1FB-1EC2-4F5A-92DE-DA150A0F077F}">
  <ds:schemaRefs/>
</ds:datastoreItem>
</file>

<file path=docProps/app.xml><?xml version="1.0" encoding="utf-8"?>
<Properties xmlns="http://schemas.openxmlformats.org/officeDocument/2006/extended-properties" xmlns:vt="http://schemas.openxmlformats.org/officeDocument/2006/docPropsVTypes">
  <Template>Normal</Template>
  <Pages>29</Pages>
  <Words>2118</Words>
  <Characters>12073</Characters>
  <Lines>100</Lines>
  <Paragraphs>28</Paragraphs>
  <TotalTime>1078</TotalTime>
  <ScaleCrop>false</ScaleCrop>
  <LinksUpToDate>false</LinksUpToDate>
  <CharactersWithSpaces>14163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2020-11-25T06:15:00Z</cp:lastPrinted>
  <dcterms:modified xsi:type="dcterms:W3CDTF">2022-02-19T03:43:43Z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